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3E4C" w14:textId="000A5CC7" w:rsidR="00637E5A" w:rsidRDefault="00637E5A" w:rsidP="00637E5A">
      <w:pPr>
        <w:jc w:val="center"/>
        <w:rPr>
          <w:sz w:val="36"/>
          <w:szCs w:val="36"/>
        </w:rPr>
      </w:pPr>
      <w:r w:rsidRPr="00637E5A">
        <w:rPr>
          <w:sz w:val="36"/>
          <w:szCs w:val="36"/>
        </w:rPr>
        <w:t>Ma</w:t>
      </w:r>
      <w:r>
        <w:rPr>
          <w:sz w:val="36"/>
          <w:szCs w:val="36"/>
        </w:rPr>
        <w:t>y</w:t>
      </w:r>
      <w:r w:rsidRPr="00637E5A">
        <w:rPr>
          <w:sz w:val="36"/>
          <w:szCs w:val="36"/>
        </w:rPr>
        <w:t xml:space="preserve"> 2022</w:t>
      </w:r>
    </w:p>
    <w:p w14:paraId="1863FD9B" w14:textId="77777777" w:rsidR="00FE4B9D" w:rsidRDefault="00FE4B9D" w:rsidP="00FE4B9D">
      <w:pPr>
        <w:rPr>
          <w:b/>
          <w:bCs/>
          <w:sz w:val="28"/>
          <w:szCs w:val="28"/>
          <w:u w:val="single"/>
        </w:rPr>
      </w:pPr>
      <w:r w:rsidRPr="007C7774">
        <w:rPr>
          <w:b/>
          <w:bCs/>
          <w:sz w:val="28"/>
          <w:szCs w:val="28"/>
          <w:u w:val="single"/>
        </w:rPr>
        <w:t>Society Scoop</w:t>
      </w:r>
    </w:p>
    <w:p w14:paraId="6DCC8C38" w14:textId="07D06899" w:rsidR="00637E5A" w:rsidRPr="00D11A3C" w:rsidRDefault="00D11A3C" w:rsidP="00637E5A">
      <w:pPr>
        <w:rPr>
          <w:b/>
          <w:bCs/>
        </w:rPr>
      </w:pPr>
      <w:r w:rsidRPr="00D11A3C">
        <w:rPr>
          <w:b/>
          <w:bCs/>
        </w:rPr>
        <w:t>The Unaffordability of Housing</w:t>
      </w:r>
    </w:p>
    <w:p w14:paraId="1E954E48" w14:textId="256626FC" w:rsidR="005C4045" w:rsidRDefault="00783601" w:rsidP="00637E5A">
      <w:pPr>
        <w:rPr>
          <w:rStyle w:val="Hyperlink"/>
          <w:color w:val="auto"/>
          <w:u w:val="none"/>
        </w:rPr>
      </w:pPr>
      <w:r>
        <w:t xml:space="preserve">As Vincentians, we daily encounter Neighbors in Need who struggle to retain the housing that they have.  </w:t>
      </w:r>
      <w:hyperlink r:id="rId5" w:history="1">
        <w:r w:rsidRPr="00783601">
          <w:rPr>
            <w:rStyle w:val="Hyperlink"/>
            <w:i/>
            <w:iCs/>
          </w:rPr>
          <w:t>Out of Reach 2021</w:t>
        </w:r>
      </w:hyperlink>
      <w:r w:rsidRPr="00783601">
        <w:rPr>
          <w:rStyle w:val="Hyperlink"/>
          <w:color w:val="auto"/>
          <w:u w:val="none"/>
        </w:rPr>
        <w:t xml:space="preserve">, </w:t>
      </w:r>
      <w:r>
        <w:rPr>
          <w:rStyle w:val="Hyperlink"/>
          <w:color w:val="auto"/>
          <w:u w:val="none"/>
        </w:rPr>
        <w:t>a publication of the National Low Income Housing Coalition</w:t>
      </w:r>
      <w:r w:rsidR="005C4045">
        <w:rPr>
          <w:rStyle w:val="Hyperlink"/>
          <w:color w:val="auto"/>
          <w:u w:val="none"/>
        </w:rPr>
        <w:t xml:space="preserve"> (NLIHC)</w:t>
      </w:r>
      <w:r>
        <w:rPr>
          <w:rStyle w:val="Hyperlink"/>
          <w:color w:val="auto"/>
          <w:u w:val="none"/>
        </w:rPr>
        <w:t xml:space="preserve">, examines why even modest housing remains out </w:t>
      </w:r>
      <w:r w:rsidR="00BD7AE2">
        <w:rPr>
          <w:rStyle w:val="Hyperlink"/>
          <w:color w:val="auto"/>
          <w:u w:val="none"/>
        </w:rPr>
        <w:t>of</w:t>
      </w:r>
      <w:r>
        <w:rPr>
          <w:rStyle w:val="Hyperlink"/>
          <w:color w:val="auto"/>
          <w:u w:val="none"/>
        </w:rPr>
        <w:t xml:space="preserve"> reach </w:t>
      </w:r>
      <w:r w:rsidR="00BD7AE2">
        <w:rPr>
          <w:rStyle w:val="Hyperlink"/>
          <w:color w:val="auto"/>
          <w:u w:val="none"/>
        </w:rPr>
        <w:t>for</w:t>
      </w:r>
      <w:r>
        <w:rPr>
          <w:rStyle w:val="Hyperlink"/>
          <w:color w:val="auto"/>
          <w:u w:val="none"/>
        </w:rPr>
        <w:t xml:space="preserve"> </w:t>
      </w:r>
      <w:r w:rsidR="005C4045">
        <w:rPr>
          <w:rStyle w:val="Hyperlink"/>
          <w:color w:val="auto"/>
          <w:u w:val="none"/>
        </w:rPr>
        <w:t xml:space="preserve">low-income workers.  </w:t>
      </w:r>
    </w:p>
    <w:p w14:paraId="60BE82B1" w14:textId="324CB15C" w:rsidR="00E36CB0" w:rsidRDefault="005C4045" w:rsidP="00637E5A">
      <w:r>
        <w:t>NLIHC defines t</w:t>
      </w:r>
      <w:r w:rsidR="00D11A3C" w:rsidRPr="00D11A3C">
        <w:t xml:space="preserve">he </w:t>
      </w:r>
      <w:r w:rsidR="00D11A3C">
        <w:t>“</w:t>
      </w:r>
      <w:r w:rsidR="00D11A3C" w:rsidRPr="00D11A3C">
        <w:t>Housing Wage</w:t>
      </w:r>
      <w:r w:rsidR="00D11A3C">
        <w:t>”</w:t>
      </w:r>
      <w:r w:rsidR="00D11A3C" w:rsidRPr="00D11A3C">
        <w:t xml:space="preserve"> </w:t>
      </w:r>
      <w:r>
        <w:t>a</w:t>
      </w:r>
      <w:r w:rsidR="00D11A3C" w:rsidRPr="00D11A3C">
        <w:t xml:space="preserve">s the </w:t>
      </w:r>
      <w:r w:rsidR="00D11A3C">
        <w:t xml:space="preserve">full-time hourly </w:t>
      </w:r>
      <w:r w:rsidR="004B32F2">
        <w:t>wage a household must earn to afford a modest rental home at HUD’s Fair Market Rent (FMR) while spending no more than 30% of their income on housing costs.  Nationally, the 2021 Housing Wage was $24.90 per hour for a modest 2-bedroom rental and $20.40 per hour for a modest 1-bedroom rental.</w:t>
      </w:r>
    </w:p>
    <w:p w14:paraId="05B528F8" w14:textId="1ACDD3DF" w:rsidR="00A554A0" w:rsidRPr="005502D0" w:rsidRDefault="000F625D" w:rsidP="005502D0">
      <w:r>
        <w:t xml:space="preserve">Astoundingly, 11 of the 20 largest occupations in the U.S. pay less than the housing wage.  Full-time workers in these occupations must, on average, spend more than 30% of their wages—often far more—to rent a modest apartment.  </w:t>
      </w:r>
    </w:p>
    <w:p w14:paraId="118559C8" w14:textId="47F630E6" w:rsidR="00A554A0" w:rsidRPr="00950EF8" w:rsidRDefault="00A554A0" w:rsidP="00950EF8">
      <w:pPr>
        <w:spacing w:after="120"/>
        <w:jc w:val="center"/>
        <w:rPr>
          <w:b/>
          <w:bCs/>
        </w:rPr>
      </w:pPr>
      <w:bookmarkStart w:id="0" w:name="_Hlk96359355"/>
      <w:r w:rsidRPr="00A554A0">
        <w:rPr>
          <w:b/>
          <w:bCs/>
        </w:rPr>
        <w:t>11 OF THE 20 LARGEST OCCUPATIONS IN THE U.S. PAY LESS THAN THE HOUSING WAGE</w:t>
      </w:r>
    </w:p>
    <w:tbl>
      <w:tblPr>
        <w:tblW w:w="5575" w:type="dxa"/>
        <w:jc w:val="center"/>
        <w:tblLook w:val="04A0" w:firstRow="1" w:lastRow="0" w:firstColumn="1" w:lastColumn="0" w:noHBand="0" w:noVBand="1"/>
      </w:tblPr>
      <w:tblGrid>
        <w:gridCol w:w="4225"/>
        <w:gridCol w:w="1350"/>
      </w:tblGrid>
      <w:tr w:rsidR="00587852" w:rsidRPr="00587852" w14:paraId="1B56A950" w14:textId="77777777" w:rsidTr="00950EF8">
        <w:trPr>
          <w:trHeight w:val="288"/>
          <w:jc w:val="center"/>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01B5" w14:textId="77777777" w:rsidR="00587852" w:rsidRPr="00587852" w:rsidRDefault="00587852" w:rsidP="00587852">
            <w:pPr>
              <w:spacing w:after="0" w:line="240" w:lineRule="auto"/>
              <w:jc w:val="right"/>
              <w:rPr>
                <w:rFonts w:ascii="Calibri" w:eastAsia="Times New Roman" w:hAnsi="Calibri" w:cs="Calibri"/>
                <w:color w:val="00B050"/>
                <w:sz w:val="18"/>
                <w:szCs w:val="18"/>
              </w:rPr>
            </w:pPr>
            <w:r w:rsidRPr="00587852">
              <w:rPr>
                <w:rFonts w:ascii="Calibri" w:eastAsia="Times New Roman" w:hAnsi="Calibri" w:cs="Calibri"/>
                <w:color w:val="00B050"/>
                <w:sz w:val="18"/>
                <w:szCs w:val="18"/>
              </w:rPr>
              <w:t>Two-Bedroom Housing Wage</w:t>
            </w:r>
          </w:p>
        </w:tc>
        <w:tc>
          <w:tcPr>
            <w:tcW w:w="1350" w:type="dxa"/>
            <w:tcBorders>
              <w:top w:val="single" w:sz="4" w:space="0" w:color="auto"/>
              <w:left w:val="nil"/>
              <w:bottom w:val="single" w:sz="4" w:space="0" w:color="auto"/>
              <w:right w:val="single" w:sz="4" w:space="0" w:color="auto"/>
            </w:tcBorders>
            <w:shd w:val="clear" w:color="000000" w:fill="00B050"/>
            <w:noWrap/>
            <w:vAlign w:val="center"/>
            <w:hideMark/>
          </w:tcPr>
          <w:p w14:paraId="148A5E77"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24.90 </w:t>
            </w:r>
          </w:p>
        </w:tc>
      </w:tr>
      <w:tr w:rsidR="00587852" w:rsidRPr="00587852" w14:paraId="25147E8A"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66AA30BC" w14:textId="77777777" w:rsidR="00587852" w:rsidRPr="00587852" w:rsidRDefault="00587852" w:rsidP="00587852">
            <w:pPr>
              <w:spacing w:after="0" w:line="240" w:lineRule="auto"/>
              <w:jc w:val="right"/>
              <w:rPr>
                <w:rFonts w:ascii="Calibri" w:eastAsia="Times New Roman" w:hAnsi="Calibri" w:cs="Calibri"/>
                <w:color w:val="00B050"/>
                <w:sz w:val="18"/>
                <w:szCs w:val="18"/>
              </w:rPr>
            </w:pPr>
            <w:r w:rsidRPr="00587852">
              <w:rPr>
                <w:rFonts w:ascii="Calibri" w:eastAsia="Times New Roman" w:hAnsi="Calibri" w:cs="Calibri"/>
                <w:color w:val="00B050"/>
                <w:sz w:val="18"/>
                <w:szCs w:val="18"/>
              </w:rPr>
              <w:t>One-Bedroom Housing Wage</w:t>
            </w:r>
          </w:p>
        </w:tc>
        <w:tc>
          <w:tcPr>
            <w:tcW w:w="1350" w:type="dxa"/>
            <w:tcBorders>
              <w:top w:val="nil"/>
              <w:left w:val="nil"/>
              <w:bottom w:val="single" w:sz="4" w:space="0" w:color="auto"/>
              <w:right w:val="single" w:sz="4" w:space="0" w:color="auto"/>
            </w:tcBorders>
            <w:shd w:val="clear" w:color="000000" w:fill="00B050"/>
            <w:noWrap/>
            <w:vAlign w:val="center"/>
            <w:hideMark/>
          </w:tcPr>
          <w:p w14:paraId="2A1C91DC"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20.40 </w:t>
            </w:r>
          </w:p>
        </w:tc>
      </w:tr>
      <w:tr w:rsidR="00587852" w:rsidRPr="00587852" w14:paraId="27701CCD"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1E4730E7"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Secretaries and Administrative Assistants</w:t>
            </w:r>
          </w:p>
        </w:tc>
        <w:tc>
          <w:tcPr>
            <w:tcW w:w="135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C2BCD4F"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20.22 </w:t>
            </w:r>
          </w:p>
        </w:tc>
      </w:tr>
      <w:tr w:rsidR="00587852" w:rsidRPr="00587852" w14:paraId="3FE298D3"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130DBACB"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Motor Vehicle Operators</w:t>
            </w:r>
          </w:p>
        </w:tc>
        <w:tc>
          <w:tcPr>
            <w:tcW w:w="1350" w:type="dxa"/>
            <w:tcBorders>
              <w:top w:val="single" w:sz="4" w:space="0" w:color="auto"/>
              <w:left w:val="single" w:sz="4" w:space="0" w:color="auto"/>
              <w:bottom w:val="single" w:sz="4" w:space="0" w:color="auto"/>
              <w:right w:val="single" w:sz="4" w:space="0" w:color="auto"/>
            </w:tcBorders>
            <w:shd w:val="clear" w:color="000000" w:fill="B0D38D"/>
            <w:noWrap/>
            <w:vAlign w:val="center"/>
            <w:hideMark/>
          </w:tcPr>
          <w:p w14:paraId="10C3BAD1"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20.02 </w:t>
            </w:r>
          </w:p>
        </w:tc>
      </w:tr>
      <w:tr w:rsidR="00587852" w:rsidRPr="00587852" w14:paraId="78719C76"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730DB9A1"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Financial Clerks</w:t>
            </w:r>
          </w:p>
        </w:tc>
        <w:tc>
          <w:tcPr>
            <w:tcW w:w="1350" w:type="dxa"/>
            <w:tcBorders>
              <w:top w:val="single" w:sz="4" w:space="0" w:color="auto"/>
              <w:left w:val="single" w:sz="4" w:space="0" w:color="auto"/>
              <w:bottom w:val="single" w:sz="4" w:space="0" w:color="auto"/>
              <w:right w:val="single" w:sz="4" w:space="0" w:color="auto"/>
            </w:tcBorders>
            <w:shd w:val="clear" w:color="000000" w:fill="C0D88B"/>
            <w:noWrap/>
            <w:vAlign w:val="center"/>
            <w:hideMark/>
          </w:tcPr>
          <w:p w14:paraId="709753AA"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19.51 </w:t>
            </w:r>
          </w:p>
        </w:tc>
      </w:tr>
      <w:tr w:rsidR="00587852" w:rsidRPr="00587852" w14:paraId="514E0E00"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398C56E0"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Other Office and Administrative Support Workers</w:t>
            </w:r>
          </w:p>
        </w:tc>
        <w:tc>
          <w:tcPr>
            <w:tcW w:w="1350" w:type="dxa"/>
            <w:tcBorders>
              <w:top w:val="single" w:sz="4" w:space="0" w:color="auto"/>
              <w:left w:val="single" w:sz="4" w:space="0" w:color="auto"/>
              <w:bottom w:val="single" w:sz="4" w:space="0" w:color="auto"/>
              <w:right w:val="single" w:sz="4" w:space="0" w:color="auto"/>
            </w:tcBorders>
            <w:shd w:val="clear" w:color="000000" w:fill="FBEA84"/>
            <w:noWrap/>
            <w:vAlign w:val="center"/>
            <w:hideMark/>
          </w:tcPr>
          <w:p w14:paraId="57ED9A87"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17.69 </w:t>
            </w:r>
          </w:p>
        </w:tc>
      </w:tr>
      <w:tr w:rsidR="00587852" w:rsidRPr="00587852" w14:paraId="5FABB147"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3A7BF17D"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Information and Record Clerks</w:t>
            </w:r>
          </w:p>
        </w:tc>
        <w:tc>
          <w:tcPr>
            <w:tcW w:w="1350" w:type="dxa"/>
            <w:tcBorders>
              <w:top w:val="single" w:sz="4" w:space="0" w:color="auto"/>
              <w:left w:val="single" w:sz="4" w:space="0" w:color="auto"/>
              <w:bottom w:val="single" w:sz="4" w:space="0" w:color="auto"/>
              <w:right w:val="single" w:sz="4" w:space="0" w:color="auto"/>
            </w:tcBorders>
            <w:shd w:val="clear" w:color="000000" w:fill="FEE783"/>
            <w:noWrap/>
            <w:vAlign w:val="center"/>
            <w:hideMark/>
          </w:tcPr>
          <w:p w14:paraId="3FEC19EF"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17.41 </w:t>
            </w:r>
          </w:p>
        </w:tc>
      </w:tr>
      <w:tr w:rsidR="00587852" w:rsidRPr="00587852" w14:paraId="5A26A2FD"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58BCC742"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Material Moving Workers</w:t>
            </w:r>
          </w:p>
        </w:tc>
        <w:tc>
          <w:tcPr>
            <w:tcW w:w="1350" w:type="dxa"/>
            <w:tcBorders>
              <w:top w:val="single" w:sz="4" w:space="0" w:color="auto"/>
              <w:left w:val="single" w:sz="4" w:space="0" w:color="auto"/>
              <w:bottom w:val="single" w:sz="4" w:space="0" w:color="auto"/>
              <w:right w:val="single" w:sz="4" w:space="0" w:color="auto"/>
            </w:tcBorders>
            <w:shd w:val="clear" w:color="000000" w:fill="FCB479"/>
            <w:noWrap/>
            <w:vAlign w:val="center"/>
            <w:hideMark/>
          </w:tcPr>
          <w:p w14:paraId="5D352057"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15.15 </w:t>
            </w:r>
          </w:p>
        </w:tc>
      </w:tr>
      <w:tr w:rsidR="00587852" w:rsidRPr="00587852" w14:paraId="4B14C231"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1747A7A4"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Building Cleaning and Pest Control Workers</w:t>
            </w:r>
          </w:p>
        </w:tc>
        <w:tc>
          <w:tcPr>
            <w:tcW w:w="1350" w:type="dxa"/>
            <w:tcBorders>
              <w:top w:val="single" w:sz="4" w:space="0" w:color="auto"/>
              <w:left w:val="single" w:sz="4" w:space="0" w:color="auto"/>
              <w:bottom w:val="single" w:sz="4" w:space="0" w:color="auto"/>
              <w:right w:val="single" w:sz="4" w:space="0" w:color="auto"/>
            </w:tcBorders>
            <w:shd w:val="clear" w:color="000000" w:fill="FA9974"/>
            <w:noWrap/>
            <w:vAlign w:val="center"/>
            <w:hideMark/>
          </w:tcPr>
          <w:p w14:paraId="32F70F5A"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13.99 </w:t>
            </w:r>
          </w:p>
        </w:tc>
      </w:tr>
      <w:tr w:rsidR="00587852" w:rsidRPr="00587852" w14:paraId="4FBC7F7B" w14:textId="77777777" w:rsidTr="00950EF8">
        <w:trPr>
          <w:trHeight w:val="480"/>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766AAB1D"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Home Health and Personal Care Aides; and Nursing Assistants, Orderlies, and Psychiatric Aides</w:t>
            </w:r>
          </w:p>
        </w:tc>
        <w:tc>
          <w:tcPr>
            <w:tcW w:w="1350" w:type="dxa"/>
            <w:tcBorders>
              <w:top w:val="single" w:sz="4" w:space="0" w:color="auto"/>
              <w:left w:val="single" w:sz="4" w:space="0" w:color="auto"/>
              <w:bottom w:val="single" w:sz="4" w:space="0" w:color="auto"/>
              <w:right w:val="single" w:sz="4" w:space="0" w:color="auto"/>
            </w:tcBorders>
            <w:shd w:val="clear" w:color="000000" w:fill="FA9874"/>
            <w:noWrap/>
            <w:vAlign w:val="center"/>
            <w:hideMark/>
          </w:tcPr>
          <w:p w14:paraId="75336527"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13.94 </w:t>
            </w:r>
          </w:p>
        </w:tc>
      </w:tr>
      <w:tr w:rsidR="00587852" w:rsidRPr="00587852" w14:paraId="18683195"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0D736455"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Cooks and Food Preparation Workers</w:t>
            </w:r>
          </w:p>
        </w:tc>
        <w:tc>
          <w:tcPr>
            <w:tcW w:w="1350" w:type="dxa"/>
            <w:tcBorders>
              <w:top w:val="single" w:sz="4" w:space="0" w:color="auto"/>
              <w:left w:val="single" w:sz="4" w:space="0" w:color="auto"/>
              <w:bottom w:val="single" w:sz="4" w:space="0" w:color="auto"/>
              <w:right w:val="single" w:sz="4" w:space="0" w:color="auto"/>
            </w:tcBorders>
            <w:shd w:val="clear" w:color="000000" w:fill="F98A71"/>
            <w:noWrap/>
            <w:vAlign w:val="center"/>
            <w:hideMark/>
          </w:tcPr>
          <w:p w14:paraId="1EDCD1C5"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13.35 </w:t>
            </w:r>
          </w:p>
        </w:tc>
      </w:tr>
      <w:tr w:rsidR="00587852" w:rsidRPr="00587852" w14:paraId="08E7D11F"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7042F1C0"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Retail Sales Workers</w:t>
            </w:r>
          </w:p>
        </w:tc>
        <w:tc>
          <w:tcPr>
            <w:tcW w:w="1350" w:type="dxa"/>
            <w:tcBorders>
              <w:top w:val="single" w:sz="4" w:space="0" w:color="auto"/>
              <w:left w:val="single" w:sz="4" w:space="0" w:color="auto"/>
              <w:bottom w:val="single" w:sz="4" w:space="0" w:color="auto"/>
              <w:right w:val="single" w:sz="4" w:space="0" w:color="auto"/>
            </w:tcBorders>
            <w:shd w:val="clear" w:color="000000" w:fill="F9816F"/>
            <w:noWrap/>
            <w:vAlign w:val="center"/>
            <w:hideMark/>
          </w:tcPr>
          <w:p w14:paraId="53413DAC"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12.95 </w:t>
            </w:r>
          </w:p>
        </w:tc>
      </w:tr>
      <w:tr w:rsidR="00587852" w:rsidRPr="00587852" w14:paraId="4266974F" w14:textId="77777777" w:rsidTr="00950EF8">
        <w:trPr>
          <w:trHeight w:val="288"/>
          <w:jc w:val="center"/>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404E3960" w14:textId="77777777" w:rsidR="00587852" w:rsidRPr="00587852" w:rsidRDefault="00587852" w:rsidP="00587852">
            <w:pPr>
              <w:spacing w:after="0" w:line="240" w:lineRule="auto"/>
              <w:jc w:val="right"/>
              <w:rPr>
                <w:rFonts w:ascii="Calibri" w:eastAsia="Times New Roman" w:hAnsi="Calibri" w:cs="Calibri"/>
                <w:color w:val="000000"/>
                <w:sz w:val="18"/>
                <w:szCs w:val="18"/>
              </w:rPr>
            </w:pPr>
            <w:r w:rsidRPr="00587852">
              <w:rPr>
                <w:rFonts w:ascii="Calibri" w:eastAsia="Times New Roman" w:hAnsi="Calibri" w:cs="Calibri"/>
                <w:color w:val="000000"/>
                <w:sz w:val="18"/>
                <w:szCs w:val="18"/>
              </w:rPr>
              <w:t>Food and Beverage Serving Workers</w:t>
            </w:r>
          </w:p>
        </w:tc>
        <w:tc>
          <w:tcPr>
            <w:tcW w:w="13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3FBEAAC" w14:textId="77777777" w:rsidR="00587852" w:rsidRPr="00587852" w:rsidRDefault="00587852" w:rsidP="00587852">
            <w:pPr>
              <w:spacing w:after="0" w:line="240" w:lineRule="auto"/>
              <w:rPr>
                <w:rFonts w:ascii="Calibri" w:eastAsia="Times New Roman" w:hAnsi="Calibri" w:cs="Calibri"/>
                <w:b/>
                <w:bCs/>
                <w:color w:val="000000"/>
              </w:rPr>
            </w:pPr>
            <w:r w:rsidRPr="00587852">
              <w:rPr>
                <w:rFonts w:ascii="Calibri" w:eastAsia="Times New Roman" w:hAnsi="Calibri" w:cs="Calibri"/>
                <w:b/>
                <w:bCs/>
                <w:color w:val="000000"/>
              </w:rPr>
              <w:t xml:space="preserve"> $        11.87 </w:t>
            </w:r>
          </w:p>
        </w:tc>
      </w:tr>
    </w:tbl>
    <w:p w14:paraId="4ABEC690" w14:textId="77777777" w:rsidR="00950EF8" w:rsidRDefault="00950EF8" w:rsidP="00950EF8">
      <w:pPr>
        <w:spacing w:after="0"/>
        <w:jc w:val="center"/>
        <w:rPr>
          <w:sz w:val="16"/>
          <w:szCs w:val="16"/>
        </w:rPr>
      </w:pPr>
      <w:r w:rsidRPr="00441DD7">
        <w:rPr>
          <w:sz w:val="16"/>
          <w:szCs w:val="16"/>
        </w:rPr>
        <w:t xml:space="preserve">Source: National Low Income Housing Coalition. (2021). </w:t>
      </w:r>
      <w:r w:rsidRPr="00441DD7">
        <w:rPr>
          <w:i/>
          <w:iCs/>
          <w:sz w:val="16"/>
          <w:szCs w:val="16"/>
        </w:rPr>
        <w:t>Out of Reach 2021</w:t>
      </w:r>
      <w:r w:rsidRPr="00441DD7">
        <w:rPr>
          <w:sz w:val="16"/>
          <w:szCs w:val="16"/>
        </w:rPr>
        <w:t xml:space="preserve">, p. 5. </w:t>
      </w:r>
    </w:p>
    <w:p w14:paraId="13D46871" w14:textId="77777777" w:rsidR="00950EF8" w:rsidRDefault="004A300A" w:rsidP="00950EF8">
      <w:pPr>
        <w:spacing w:after="0"/>
        <w:jc w:val="center"/>
        <w:rPr>
          <w:sz w:val="16"/>
          <w:szCs w:val="16"/>
        </w:rPr>
      </w:pPr>
      <w:hyperlink r:id="rId6" w:history="1">
        <w:r w:rsidR="00950EF8" w:rsidRPr="00D10735">
          <w:rPr>
            <w:rStyle w:val="Hyperlink"/>
            <w:sz w:val="16"/>
            <w:szCs w:val="16"/>
          </w:rPr>
          <w:t>https://nlihc.org/sites/default/files/oor/2021/Out-of-Reach_2021.pdf</w:t>
        </w:r>
      </w:hyperlink>
      <w:r w:rsidR="00950EF8" w:rsidRPr="00441DD7">
        <w:rPr>
          <w:sz w:val="16"/>
          <w:szCs w:val="16"/>
        </w:rPr>
        <w:t>.</w:t>
      </w:r>
    </w:p>
    <w:bookmarkEnd w:id="0"/>
    <w:p w14:paraId="2951E886" w14:textId="77777777" w:rsidR="00587852" w:rsidRPr="00A554A0" w:rsidRDefault="00587852" w:rsidP="00A554A0">
      <w:pPr>
        <w:spacing w:after="0"/>
        <w:jc w:val="center"/>
        <w:rPr>
          <w:sz w:val="16"/>
          <w:szCs w:val="16"/>
        </w:rPr>
      </w:pPr>
    </w:p>
    <w:p w14:paraId="0F00F4F7" w14:textId="65469DF1" w:rsidR="00B763E8" w:rsidRDefault="00C74108" w:rsidP="00625EB4">
      <w:r>
        <w:t xml:space="preserve">The Voice of the Poor Committee, National Council of the United States, has two position papers that speak to this situation.  </w:t>
      </w:r>
      <w:r w:rsidR="005502D0">
        <w:t xml:space="preserve">In </w:t>
      </w:r>
      <w:r w:rsidR="009A267F">
        <w:t>its</w:t>
      </w:r>
      <w:r w:rsidR="005502D0">
        <w:t xml:space="preserve"> </w:t>
      </w:r>
      <w:hyperlink r:id="rId7" w:history="1">
        <w:r w:rsidR="005502D0" w:rsidRPr="00711C9A">
          <w:rPr>
            <w:rStyle w:val="Hyperlink"/>
            <w:i/>
            <w:iCs/>
          </w:rPr>
          <w:t>Position Statement on Affordable Housing for the Poor</w:t>
        </w:r>
      </w:hyperlink>
      <w:r w:rsidR="005502D0">
        <w:t>, the Voice of the Poor Committee, National Council of the United States</w:t>
      </w:r>
      <w:r w:rsidR="00711C9A">
        <w:t xml:space="preserve">, “encourages the Society to speak in a unified voice in support of affordable housing locally, regionally, nationally and internationally” </w:t>
      </w:r>
      <w:r w:rsidR="009A267F">
        <w:t>and offers recommendations for an affordable housing policy.</w:t>
      </w:r>
      <w:r w:rsidR="00711C9A">
        <w:t xml:space="preserve"> </w:t>
      </w:r>
      <w:r w:rsidR="009A267F">
        <w:t xml:space="preserve"> </w:t>
      </w:r>
      <w:r>
        <w:t xml:space="preserve">In </w:t>
      </w:r>
      <w:r w:rsidR="009A267F">
        <w:t>its</w:t>
      </w:r>
      <w:r>
        <w:t xml:space="preserve"> </w:t>
      </w:r>
      <w:hyperlink r:id="rId8" w:history="1">
        <w:r w:rsidRPr="00C74108">
          <w:rPr>
            <w:rStyle w:val="Hyperlink"/>
            <w:i/>
            <w:iCs/>
          </w:rPr>
          <w:t>Position Statement on Fair Wages</w:t>
        </w:r>
      </w:hyperlink>
      <w:r>
        <w:t>, the</w:t>
      </w:r>
      <w:r w:rsidR="009A267F">
        <w:t xml:space="preserve"> Committee</w:t>
      </w:r>
      <w:r>
        <w:t xml:space="preserve"> urge</w:t>
      </w:r>
      <w:r w:rsidR="009A267F">
        <w:t>s</w:t>
      </w:r>
      <w:r>
        <w:t xml:space="preserve"> Vincentians to tell the stories of those we visit, to encourage our Catholic employers—indeed all employers—to treat </w:t>
      </w:r>
      <w:r w:rsidR="00B763E8">
        <w:t xml:space="preserve">their </w:t>
      </w:r>
      <w:r>
        <w:t>employees fairly, and to support and encourage programs that train workers so that they can participate in the job market to the fullest of their ability.  In our home visits, let’s ask our Neighbors</w:t>
      </w:r>
      <w:r w:rsidR="00B763E8">
        <w:t>, “W</w:t>
      </w:r>
      <w:r>
        <w:t>hat</w:t>
      </w:r>
      <w:r w:rsidR="009A267F">
        <w:t xml:space="preserve"> i</w:t>
      </w:r>
      <w:r w:rsidR="00B763E8">
        <w:t>s</w:t>
      </w:r>
      <w:r>
        <w:t xml:space="preserve"> </w:t>
      </w:r>
      <w:r w:rsidR="00B763E8">
        <w:t xml:space="preserve">your </w:t>
      </w:r>
      <w:r>
        <w:t>dream job and what</w:t>
      </w:r>
      <w:r w:rsidR="009A267F">
        <w:t xml:space="preserve"> i</w:t>
      </w:r>
      <w:r>
        <w:t xml:space="preserve">s keeping </w:t>
      </w:r>
      <w:r w:rsidR="00B763E8">
        <w:t>you</w:t>
      </w:r>
      <w:r>
        <w:t xml:space="preserve"> from it</w:t>
      </w:r>
      <w:r w:rsidR="00B763E8">
        <w:t>?”</w:t>
      </w:r>
      <w:r>
        <w:t xml:space="preserve">  It may be an obstacle that we </w:t>
      </w:r>
      <w:r w:rsidR="00B763E8">
        <w:t>can work with the Neighbor to clear.</w:t>
      </w:r>
    </w:p>
    <w:p w14:paraId="40ECB5AE" w14:textId="2A744216" w:rsidR="00625EB4" w:rsidRDefault="00625EB4" w:rsidP="00625EB4">
      <w:r>
        <w:t xml:space="preserve">Our own Voice of the Poor Committee, Archdiocesan Council of St. Louis, welcomes and encourages your feedback on how best to advocate for </w:t>
      </w:r>
      <w:r w:rsidR="00C74108">
        <w:t xml:space="preserve">full employment and </w:t>
      </w:r>
      <w:r w:rsidR="00BD7AE2">
        <w:t xml:space="preserve">affordable housing for </w:t>
      </w:r>
      <w:r>
        <w:t xml:space="preserve">our Neighbors in </w:t>
      </w:r>
      <w:r>
        <w:lastRenderedPageBreak/>
        <w:t xml:space="preserve">Need.  Contact us at </w:t>
      </w:r>
      <w:hyperlink r:id="rId9" w:history="1">
        <w:r w:rsidR="00116C26" w:rsidRPr="0092735B">
          <w:rPr>
            <w:rStyle w:val="Hyperlink"/>
          </w:rPr>
          <w:t>vopstlouis@gmail.com</w:t>
        </w:r>
      </w:hyperlink>
      <w:r w:rsidR="00116C26">
        <w:t xml:space="preserve"> </w:t>
      </w:r>
      <w:r>
        <w:t>and share the insight you’ve gained from your service to our Neighbors.</w:t>
      </w:r>
    </w:p>
    <w:p w14:paraId="029F6DB2" w14:textId="77777777" w:rsidR="006F41F1" w:rsidRDefault="006F41F1" w:rsidP="00FE4B9D">
      <w:pPr>
        <w:rPr>
          <w:b/>
          <w:bCs/>
          <w:sz w:val="28"/>
          <w:szCs w:val="28"/>
          <w:u w:val="single"/>
        </w:rPr>
      </w:pPr>
    </w:p>
    <w:p w14:paraId="3D95D551" w14:textId="2D5074D9" w:rsidR="00FE4B9D" w:rsidRPr="002B69FE" w:rsidRDefault="00FE4B9D" w:rsidP="00FE4B9D">
      <w:pPr>
        <w:rPr>
          <w:b/>
          <w:bCs/>
          <w:sz w:val="28"/>
          <w:szCs w:val="28"/>
          <w:u w:val="single"/>
        </w:rPr>
      </w:pPr>
      <w:r w:rsidRPr="002B69FE">
        <w:rPr>
          <w:b/>
          <w:bCs/>
          <w:sz w:val="28"/>
          <w:szCs w:val="28"/>
          <w:u w:val="single"/>
        </w:rPr>
        <w:t>Facebook</w:t>
      </w:r>
    </w:p>
    <w:p w14:paraId="54D0A9B8" w14:textId="2C619447" w:rsidR="00943B19" w:rsidRDefault="00441DD7" w:rsidP="00943B19">
      <w:r w:rsidRPr="00D11A3C">
        <w:t xml:space="preserve">The </w:t>
      </w:r>
      <w:r>
        <w:t>“</w:t>
      </w:r>
      <w:r w:rsidRPr="00D11A3C">
        <w:t>Housing Wage</w:t>
      </w:r>
      <w:r>
        <w:t>”</w:t>
      </w:r>
      <w:r w:rsidRPr="00D11A3C">
        <w:t xml:space="preserve"> is the </w:t>
      </w:r>
      <w:r>
        <w:t>full-time hourly wage a household must earn to afford a modest rental home at HUD’s Fair Market Rent (FMR) while spending no more than 30% of their income on housing costs.  Nationally, the 2021 Housing Wage was $24.90 per hour for a modest 2-bedroom rental and $20.40 per hour for a modest 1-bedroom rental.</w:t>
      </w:r>
      <w:r w:rsidR="00943B19">
        <w:t xml:space="preserve">  Astoundingly, 11 of the 20 largest occupations in the U.S. pay less than the housing wage.  Full-time workers in these occupations must, on average, spend more than 30% of their wages—often far more—to rent a modest apartment.  For more info, see </w:t>
      </w:r>
      <w:r w:rsidR="006B2561" w:rsidRPr="006B2561">
        <w:rPr>
          <w:i/>
          <w:iCs/>
        </w:rPr>
        <w:t>Out of Reach 2021</w:t>
      </w:r>
      <w:r w:rsidR="00A23B26">
        <w:rPr>
          <w:i/>
          <w:iCs/>
        </w:rPr>
        <w:t xml:space="preserve">, </w:t>
      </w:r>
      <w:r w:rsidR="00A23B26" w:rsidRPr="00A23B26">
        <w:t>a publication of the National Low Income Housing Coalition</w:t>
      </w:r>
      <w:r w:rsidR="00A23B26">
        <w:rPr>
          <w:i/>
          <w:iCs/>
        </w:rPr>
        <w:t>,</w:t>
      </w:r>
      <w:r w:rsidR="006B2561">
        <w:t xml:space="preserve"> at </w:t>
      </w:r>
      <w:hyperlink r:id="rId10" w:history="1">
        <w:r w:rsidR="006B2561" w:rsidRPr="008B04DE">
          <w:rPr>
            <w:rStyle w:val="Hyperlink"/>
            <w:i/>
            <w:iCs/>
          </w:rPr>
          <w:t>https://nlihc.org/sites/default/files/oor/2021/Out-of-Reach_2021.pdf</w:t>
        </w:r>
      </w:hyperlink>
      <w:r w:rsidR="00943B19">
        <w:t>.</w:t>
      </w:r>
    </w:p>
    <w:p w14:paraId="0AB85E3C" w14:textId="6FE126B7" w:rsidR="00FE4B9D" w:rsidRDefault="00A23B26" w:rsidP="00FE4B9D">
      <w:pPr>
        <w:rPr>
          <w:b/>
          <w:bCs/>
          <w:sz w:val="24"/>
          <w:szCs w:val="24"/>
        </w:rPr>
      </w:pPr>
      <w:r>
        <w:rPr>
          <w:b/>
          <w:bCs/>
          <w:noProof/>
          <w:sz w:val="24"/>
          <w:szCs w:val="24"/>
        </w:rPr>
        <w:drawing>
          <wp:inline distT="0" distB="0" distL="0" distR="0" wp14:anchorId="14C322A4" wp14:editId="3B8DD4FC">
            <wp:extent cx="5090601" cy="3124471"/>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90601" cy="3124471"/>
                    </a:xfrm>
                    <a:prstGeom prst="rect">
                      <a:avLst/>
                    </a:prstGeom>
                  </pic:spPr>
                </pic:pic>
              </a:graphicData>
            </a:graphic>
          </wp:inline>
        </w:drawing>
      </w:r>
    </w:p>
    <w:p w14:paraId="2B973836" w14:textId="635441A9" w:rsidR="00CC3A10" w:rsidRDefault="00CC3A10" w:rsidP="00FE4B9D">
      <w:pPr>
        <w:rPr>
          <w:b/>
          <w:bCs/>
          <w:sz w:val="24"/>
          <w:szCs w:val="24"/>
        </w:rPr>
      </w:pPr>
    </w:p>
    <w:p w14:paraId="3267ECA0" w14:textId="57ED961B" w:rsidR="00CC3A10" w:rsidRDefault="00CC3A10" w:rsidP="00FE4B9D">
      <w:pPr>
        <w:rPr>
          <w:b/>
          <w:bCs/>
          <w:sz w:val="24"/>
          <w:szCs w:val="24"/>
        </w:rPr>
      </w:pPr>
    </w:p>
    <w:p w14:paraId="50A47DCC" w14:textId="77777777" w:rsidR="00CC3A10" w:rsidRDefault="00CC3A10" w:rsidP="00FE4B9D">
      <w:pPr>
        <w:rPr>
          <w:b/>
          <w:bCs/>
          <w:sz w:val="24"/>
          <w:szCs w:val="24"/>
        </w:rPr>
      </w:pPr>
    </w:p>
    <w:p w14:paraId="38294C0D" w14:textId="77777777" w:rsidR="00B55695" w:rsidRDefault="00B55695" w:rsidP="00FE4B9D">
      <w:pPr>
        <w:rPr>
          <w:b/>
          <w:bCs/>
          <w:sz w:val="28"/>
          <w:szCs w:val="28"/>
          <w:u w:val="single"/>
        </w:rPr>
      </w:pPr>
      <w:r>
        <w:rPr>
          <w:b/>
          <w:bCs/>
          <w:sz w:val="28"/>
          <w:szCs w:val="28"/>
          <w:u w:val="single"/>
        </w:rPr>
        <w:br w:type="page"/>
      </w:r>
    </w:p>
    <w:p w14:paraId="5E03DCBE" w14:textId="3259C00C" w:rsidR="00FE4B9D" w:rsidRPr="002B69FE" w:rsidRDefault="00FE4B9D" w:rsidP="00FE4B9D">
      <w:pPr>
        <w:rPr>
          <w:b/>
          <w:bCs/>
          <w:sz w:val="28"/>
          <w:szCs w:val="28"/>
          <w:u w:val="single"/>
        </w:rPr>
      </w:pPr>
      <w:r w:rsidRPr="002B69FE">
        <w:rPr>
          <w:b/>
          <w:bCs/>
          <w:sz w:val="28"/>
          <w:szCs w:val="28"/>
          <w:u w:val="single"/>
        </w:rPr>
        <w:lastRenderedPageBreak/>
        <w:t>Bulletin</w:t>
      </w:r>
    </w:p>
    <w:p w14:paraId="32A1C000" w14:textId="42290B33" w:rsidR="00422004" w:rsidRPr="00950EF8" w:rsidRDefault="00422004" w:rsidP="00422004">
      <w:pPr>
        <w:spacing w:after="120"/>
        <w:rPr>
          <w:b/>
          <w:bCs/>
        </w:rPr>
      </w:pPr>
      <w:r w:rsidRPr="00A554A0">
        <w:rPr>
          <w:b/>
          <w:bCs/>
        </w:rPr>
        <w:t>11 OF THE 20 LARGEST OCCUPATIONS IN THE U.S. PAY LESS THAN THE HOUSING WAGE</w:t>
      </w:r>
    </w:p>
    <w:p w14:paraId="5B79D19B" w14:textId="1F0FF4A4" w:rsidR="00422004" w:rsidRDefault="002F29E6" w:rsidP="00F70B45">
      <w:pPr>
        <w:spacing w:after="120" w:line="247" w:lineRule="auto"/>
        <w:jc w:val="both"/>
      </w:pPr>
      <w:r>
        <w:rPr>
          <w:noProof/>
        </w:rPr>
        <w:drawing>
          <wp:anchor distT="0" distB="0" distL="114300" distR="114300" simplePos="0" relativeHeight="251660288" behindDoc="1" locked="0" layoutInCell="1" allowOverlap="1" wp14:anchorId="6858B159" wp14:editId="6E97C080">
            <wp:simplePos x="0" y="0"/>
            <wp:positionH relativeFrom="column">
              <wp:posOffset>0</wp:posOffset>
            </wp:positionH>
            <wp:positionV relativeFrom="paragraph">
              <wp:posOffset>-1905</wp:posOffset>
            </wp:positionV>
            <wp:extent cx="3436918" cy="2941575"/>
            <wp:effectExtent l="0" t="0" r="0" b="0"/>
            <wp:wrapTight wrapText="bothSides">
              <wp:wrapPolygon edited="0">
                <wp:start x="0" y="0"/>
                <wp:lineTo x="0" y="21404"/>
                <wp:lineTo x="21432" y="21404"/>
                <wp:lineTo x="21432" y="0"/>
                <wp:lineTo x="0" y="0"/>
              </wp:wrapPolygon>
            </wp:wrapTight>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36918" cy="2941575"/>
                    </a:xfrm>
                    <a:prstGeom prst="rect">
                      <a:avLst/>
                    </a:prstGeom>
                  </pic:spPr>
                </pic:pic>
              </a:graphicData>
            </a:graphic>
            <wp14:sizeRelH relativeFrom="page">
              <wp14:pctWidth>0</wp14:pctWidth>
            </wp14:sizeRelH>
            <wp14:sizeRelV relativeFrom="page">
              <wp14:pctHeight>0</wp14:pctHeight>
            </wp14:sizeRelV>
          </wp:anchor>
        </w:drawing>
      </w:r>
      <w:r w:rsidR="00441DD7" w:rsidRPr="00D11A3C">
        <w:t xml:space="preserve">The </w:t>
      </w:r>
      <w:r w:rsidR="00441DD7">
        <w:t>“</w:t>
      </w:r>
      <w:r w:rsidR="00441DD7" w:rsidRPr="00D11A3C">
        <w:t>Housing Wage</w:t>
      </w:r>
      <w:r w:rsidR="00441DD7">
        <w:t>”</w:t>
      </w:r>
      <w:r w:rsidR="00441DD7" w:rsidRPr="00D11A3C">
        <w:t xml:space="preserve"> is the </w:t>
      </w:r>
      <w:r w:rsidR="00441DD7">
        <w:t xml:space="preserve">full-time hourly wage a household must earn to afford a modest rental home at HUD’s Fair Market Rent (FMR) while spending no more than 30% of their income on housing costs.  </w:t>
      </w:r>
    </w:p>
    <w:p w14:paraId="284A746D" w14:textId="6BB36014" w:rsidR="00441DD7" w:rsidRDefault="00441DD7" w:rsidP="00F70B45">
      <w:pPr>
        <w:spacing w:after="120" w:line="247" w:lineRule="auto"/>
        <w:jc w:val="both"/>
      </w:pPr>
      <w:r>
        <w:t>Nationally, the 2021 Housing Wage was $24.90 per hour for a modest 2-bedroom rental and $20.40 per hour for a modest 1-bedroom rental.</w:t>
      </w:r>
    </w:p>
    <w:p w14:paraId="6E385376" w14:textId="2FABD551" w:rsidR="00441DD7" w:rsidRDefault="00422004" w:rsidP="00F70B45">
      <w:pPr>
        <w:spacing w:after="120" w:line="247" w:lineRule="auto"/>
      </w:pPr>
      <w:r>
        <w:t>Eleven of the twenty largest occupations in the United States pay less than the wage needed to afford modest housing.</w:t>
      </w:r>
    </w:p>
    <w:p w14:paraId="6E23472F" w14:textId="0EFCCFC8" w:rsidR="002F29E6" w:rsidRDefault="002F29E6" w:rsidP="00F70B45">
      <w:pPr>
        <w:spacing w:after="120" w:line="247" w:lineRule="auto"/>
      </w:pPr>
      <w:r>
        <w:t xml:space="preserve">Your donations to the Society of St. Vincent de Paul assist workers </w:t>
      </w:r>
      <w:r w:rsidR="00F70B45">
        <w:t>when unforeseen expenses put their housing in jeopardy</w:t>
      </w:r>
      <w:r>
        <w:t>.</w:t>
      </w:r>
    </w:p>
    <w:p w14:paraId="3B4EB317" w14:textId="77777777" w:rsidR="00CC3A10" w:rsidRPr="00CC3A10" w:rsidRDefault="00CC3A10" w:rsidP="00441DD7">
      <w:pPr>
        <w:rPr>
          <w:sz w:val="2"/>
          <w:szCs w:val="2"/>
        </w:rPr>
      </w:pPr>
    </w:p>
    <w:p w14:paraId="01E6D71F" w14:textId="68DB3639" w:rsidR="00441DD7" w:rsidRPr="00441DD7" w:rsidRDefault="00441DD7" w:rsidP="00441DD7">
      <w:r w:rsidRPr="00441DD7">
        <w:t>.</w:t>
      </w:r>
    </w:p>
    <w:p w14:paraId="129AC194" w14:textId="77777777" w:rsidR="00637E5A" w:rsidRDefault="00637E5A" w:rsidP="00637E5A">
      <w:pPr>
        <w:rPr>
          <w:sz w:val="24"/>
          <w:szCs w:val="24"/>
        </w:rPr>
      </w:pPr>
    </w:p>
    <w:p w14:paraId="2C64CB0F" w14:textId="77777777" w:rsidR="00B55695" w:rsidRDefault="00B55695" w:rsidP="00637E5A">
      <w:pPr>
        <w:jc w:val="center"/>
        <w:rPr>
          <w:sz w:val="36"/>
          <w:szCs w:val="36"/>
        </w:rPr>
      </w:pPr>
      <w:r>
        <w:rPr>
          <w:sz w:val="36"/>
          <w:szCs w:val="36"/>
        </w:rPr>
        <w:br w:type="page"/>
      </w:r>
    </w:p>
    <w:p w14:paraId="3A47FD22" w14:textId="2C008E6E" w:rsidR="00637E5A" w:rsidRDefault="00637E5A" w:rsidP="00637E5A">
      <w:pPr>
        <w:jc w:val="center"/>
        <w:rPr>
          <w:sz w:val="36"/>
          <w:szCs w:val="36"/>
        </w:rPr>
      </w:pPr>
      <w:r>
        <w:rPr>
          <w:sz w:val="36"/>
          <w:szCs w:val="36"/>
        </w:rPr>
        <w:lastRenderedPageBreak/>
        <w:t>June</w:t>
      </w:r>
      <w:r w:rsidRPr="00637E5A">
        <w:rPr>
          <w:sz w:val="36"/>
          <w:szCs w:val="36"/>
        </w:rPr>
        <w:t xml:space="preserve"> 2022</w:t>
      </w:r>
    </w:p>
    <w:p w14:paraId="7B89C0A5" w14:textId="77777777" w:rsidR="00E103C3" w:rsidRDefault="00E103C3" w:rsidP="00E103C3">
      <w:pPr>
        <w:rPr>
          <w:b/>
          <w:bCs/>
          <w:sz w:val="28"/>
          <w:szCs w:val="28"/>
          <w:u w:val="single"/>
        </w:rPr>
      </w:pPr>
      <w:r w:rsidRPr="007C7774">
        <w:rPr>
          <w:b/>
          <w:bCs/>
          <w:sz w:val="28"/>
          <w:szCs w:val="28"/>
          <w:u w:val="single"/>
        </w:rPr>
        <w:t>Society Scoop</w:t>
      </w:r>
    </w:p>
    <w:p w14:paraId="51ECE0B8" w14:textId="35AE447F" w:rsidR="00567673" w:rsidRDefault="00567673" w:rsidP="00567673">
      <w:pPr>
        <w:rPr>
          <w:b/>
          <w:bCs/>
        </w:rPr>
      </w:pPr>
      <w:r w:rsidRPr="00D11A3C">
        <w:rPr>
          <w:b/>
          <w:bCs/>
        </w:rPr>
        <w:t xml:space="preserve">The </w:t>
      </w:r>
      <w:r w:rsidR="00F665F0">
        <w:rPr>
          <w:b/>
          <w:bCs/>
        </w:rPr>
        <w:t>Housing Situation in Missouri</w:t>
      </w:r>
    </w:p>
    <w:p w14:paraId="79869C6B" w14:textId="4D58BDA8" w:rsidR="00F665F0" w:rsidRDefault="00F665F0" w:rsidP="00567673">
      <w:r w:rsidRPr="002F5DA2">
        <w:t>As Vincentians, we daily encounter Neighbors in Need who struggle to keep a roof over their heads.</w:t>
      </w:r>
      <w:r w:rsidR="002F5DA2">
        <w:t xml:space="preserve">  </w:t>
      </w:r>
      <w:r w:rsidR="00B14AE8">
        <w:t xml:space="preserve">The housing statistics for </w:t>
      </w:r>
      <w:r w:rsidR="00F212BD">
        <w:t xml:space="preserve">our Archdiocese and for </w:t>
      </w:r>
      <w:r w:rsidR="00B14AE8">
        <w:t xml:space="preserve">Missouri </w:t>
      </w:r>
      <w:r w:rsidR="00F212BD">
        <w:t xml:space="preserve">as a whole </w:t>
      </w:r>
      <w:r w:rsidR="00B14AE8">
        <w:t>underscore this struggle:</w:t>
      </w:r>
    </w:p>
    <w:p w14:paraId="603EE04B" w14:textId="77777777" w:rsidR="00F212BD" w:rsidRPr="009F4525" w:rsidRDefault="00F212BD" w:rsidP="00567673">
      <w:r w:rsidRPr="009F4525">
        <w:t>In the Archdiocese of St. Louis:</w:t>
      </w:r>
    </w:p>
    <w:p w14:paraId="2553EBE6" w14:textId="41B5E430" w:rsidR="00B14AE8" w:rsidRPr="009F4525" w:rsidRDefault="00F212BD" w:rsidP="00F212BD">
      <w:pPr>
        <w:pStyle w:val="ListParagraph"/>
        <w:numPr>
          <w:ilvl w:val="0"/>
          <w:numId w:val="1"/>
        </w:numPr>
      </w:pPr>
      <w:r w:rsidRPr="009F4525">
        <w:t>T</w:t>
      </w:r>
      <w:r w:rsidR="00B14AE8" w:rsidRPr="009F4525">
        <w:t xml:space="preserve">he </w:t>
      </w:r>
      <w:r w:rsidR="009C3885" w:rsidRPr="009F4525">
        <w:t>HUD fair market rate for a modest 2-bedroom</w:t>
      </w:r>
      <w:r w:rsidRPr="009F4525">
        <w:t xml:space="preserve"> rental</w:t>
      </w:r>
      <w:r w:rsidR="009C3885" w:rsidRPr="009F4525">
        <w:t xml:space="preserve"> ranges from $662 in less populated areas to $938 in the greater St. Louis metro.</w:t>
      </w:r>
    </w:p>
    <w:p w14:paraId="10B7BE47" w14:textId="2587BB2E" w:rsidR="009C3885" w:rsidRPr="009F4525" w:rsidRDefault="009C3885" w:rsidP="00F212BD">
      <w:pPr>
        <w:pStyle w:val="ListParagraph"/>
        <w:numPr>
          <w:ilvl w:val="0"/>
          <w:numId w:val="1"/>
        </w:numPr>
      </w:pPr>
      <w:r w:rsidRPr="009F4525">
        <w:t>The income needed to afford a modest 2-bedroom rental</w:t>
      </w:r>
      <w:r w:rsidR="00F212BD" w:rsidRPr="009F4525">
        <w:t xml:space="preserve"> </w:t>
      </w:r>
      <w:r w:rsidRPr="009F4525">
        <w:t>ranges from $26,480 annually (</w:t>
      </w:r>
      <w:r w:rsidR="00F212BD" w:rsidRPr="009F4525">
        <w:t>$12.73 hourly) to $37,520 annually ($18.04 hourly).</w:t>
      </w:r>
    </w:p>
    <w:p w14:paraId="204A10AB" w14:textId="4636E229" w:rsidR="00F212BD" w:rsidRPr="009F4525" w:rsidRDefault="00F212BD" w:rsidP="00F212BD">
      <w:pPr>
        <w:pStyle w:val="ListParagraph"/>
        <w:numPr>
          <w:ilvl w:val="0"/>
          <w:numId w:val="1"/>
        </w:numPr>
      </w:pPr>
      <w:r w:rsidRPr="009F4525">
        <w:t>1.2 to 1.8 full-time jobs at minimum wage are needed to afford a modest 2-bedroom rental.</w:t>
      </w:r>
      <w:r w:rsidR="00D806FA" w:rsidRPr="00D806FA">
        <w:rPr>
          <w:vertAlign w:val="superscript"/>
        </w:rPr>
        <w:t>1</w:t>
      </w:r>
    </w:p>
    <w:p w14:paraId="7C5093EE" w14:textId="7251F06F" w:rsidR="00637E5A" w:rsidRPr="009F4525" w:rsidRDefault="00E112F0" w:rsidP="00637E5A">
      <w:r w:rsidRPr="00E112F0">
        <w:rPr>
          <w:noProof/>
          <w:sz w:val="24"/>
          <w:szCs w:val="24"/>
        </w:rPr>
        <mc:AlternateContent>
          <mc:Choice Requires="wps">
            <w:drawing>
              <wp:anchor distT="45720" distB="45720" distL="114300" distR="114300" simplePos="0" relativeHeight="251659264" behindDoc="0" locked="0" layoutInCell="1" allowOverlap="1" wp14:anchorId="6FC01709" wp14:editId="20825181">
                <wp:simplePos x="0" y="0"/>
                <wp:positionH relativeFrom="margin">
                  <wp:posOffset>3200400</wp:posOffset>
                </wp:positionH>
                <wp:positionV relativeFrom="paragraph">
                  <wp:posOffset>132715</wp:posOffset>
                </wp:positionV>
                <wp:extent cx="3208020" cy="2308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308860"/>
                        </a:xfrm>
                        <a:prstGeom prst="rect">
                          <a:avLst/>
                        </a:prstGeom>
                        <a:solidFill>
                          <a:srgbClr val="FFFFFF"/>
                        </a:solidFill>
                        <a:ln w="9525">
                          <a:noFill/>
                          <a:miter lim="800000"/>
                          <a:headEnd/>
                          <a:tailEnd/>
                        </a:ln>
                      </wps:spPr>
                      <wps:txbx>
                        <w:txbxContent>
                          <w:p w14:paraId="703A695B" w14:textId="192B257E" w:rsidR="00E112F0" w:rsidRDefault="00E112F0">
                            <w:r>
                              <w:rPr>
                                <w:noProof/>
                              </w:rPr>
                              <w:drawing>
                                <wp:inline distT="0" distB="0" distL="0" distR="0" wp14:anchorId="274A244C" wp14:editId="0FCFFAB2">
                                  <wp:extent cx="3030609" cy="2194560"/>
                                  <wp:effectExtent l="0" t="0" r="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3"/>
                                          <a:stretch>
                                            <a:fillRect/>
                                          </a:stretch>
                                        </pic:blipFill>
                                        <pic:spPr>
                                          <a:xfrm>
                                            <a:off x="0" y="0"/>
                                            <a:ext cx="3036095" cy="21985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01709" id="_x0000_t202" coordsize="21600,21600" o:spt="202" path="m,l,21600r21600,l21600,xe">
                <v:stroke joinstyle="miter"/>
                <v:path gradientshapeok="t" o:connecttype="rect"/>
              </v:shapetype>
              <v:shape id="Text Box 2" o:spid="_x0000_s1026" type="#_x0000_t202" style="position:absolute;margin-left:252pt;margin-top:10.45pt;width:252.6pt;height:18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khDQ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" stroked="f">
                <v:textbox>
                  <w:txbxContent>
                    <w:p w14:paraId="703A695B" w14:textId="192B257E" w:rsidR="00E112F0" w:rsidRDefault="00E112F0">
                      <w:r>
                        <w:rPr>
                          <w:noProof/>
                        </w:rPr>
                        <w:drawing>
                          <wp:inline distT="0" distB="0" distL="0" distR="0" wp14:anchorId="274A244C" wp14:editId="0FCFFAB2">
                            <wp:extent cx="3030609" cy="2194560"/>
                            <wp:effectExtent l="0" t="0" r="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23"/>
                                    <a:stretch>
                                      <a:fillRect/>
                                    </a:stretch>
                                  </pic:blipFill>
                                  <pic:spPr>
                                    <a:xfrm>
                                      <a:off x="0" y="0"/>
                                      <a:ext cx="3036095" cy="2198532"/>
                                    </a:xfrm>
                                    <a:prstGeom prst="rect">
                                      <a:avLst/>
                                    </a:prstGeom>
                                  </pic:spPr>
                                </pic:pic>
                              </a:graphicData>
                            </a:graphic>
                          </wp:inline>
                        </w:drawing>
                      </w:r>
                    </w:p>
                  </w:txbxContent>
                </v:textbox>
                <w10:wrap type="square" anchorx="margin"/>
              </v:shape>
            </w:pict>
          </mc:Fallback>
        </mc:AlternateContent>
      </w:r>
      <w:r w:rsidR="00F212BD" w:rsidRPr="009F4525">
        <w:t>In Missouri:</w:t>
      </w:r>
    </w:p>
    <w:p w14:paraId="3CF6C48E" w14:textId="26A39A29" w:rsidR="00F212BD" w:rsidRPr="009F4525" w:rsidRDefault="00857CD4" w:rsidP="009F4525">
      <w:pPr>
        <w:pStyle w:val="ListParagraph"/>
        <w:numPr>
          <w:ilvl w:val="0"/>
          <w:numId w:val="2"/>
        </w:numPr>
      </w:pPr>
      <w:r w:rsidRPr="009F4525">
        <w:t>345,000 low-income Missouri renters pay over half their income in rent.  Rent is considered unaffordable if it costs more than 30% of a household’s income.</w:t>
      </w:r>
      <w:r w:rsidR="00E112F0">
        <w:t xml:space="preserve">  These Missourians must often forgo other necessities like food and medicine </w:t>
      </w:r>
      <w:proofErr w:type="gramStart"/>
      <w:r w:rsidR="00E112F0">
        <w:t>in order to</w:t>
      </w:r>
      <w:proofErr w:type="gramEnd"/>
      <w:r w:rsidR="00E112F0">
        <w:t xml:space="preserve"> remain housed.</w:t>
      </w:r>
    </w:p>
    <w:p w14:paraId="16DF6199" w14:textId="7E688832" w:rsidR="009F4525" w:rsidRPr="009F4525" w:rsidRDefault="009F4525" w:rsidP="009F4525">
      <w:pPr>
        <w:pStyle w:val="ListParagraph"/>
        <w:numPr>
          <w:ilvl w:val="0"/>
          <w:numId w:val="2"/>
        </w:numPr>
      </w:pPr>
      <w:r w:rsidRPr="009F4525">
        <w:t>34,030 Missouri schoolchildren live in unstable housing—on the street, in shelters, with other families, or in motels.</w:t>
      </w:r>
    </w:p>
    <w:p w14:paraId="3A9A2A18" w14:textId="752AF243" w:rsidR="00E64922" w:rsidRPr="009F4525" w:rsidRDefault="00E64922" w:rsidP="009F4525">
      <w:pPr>
        <w:pStyle w:val="ListParagraph"/>
        <w:numPr>
          <w:ilvl w:val="0"/>
          <w:numId w:val="2"/>
        </w:numPr>
      </w:pPr>
      <w:r w:rsidRPr="009F4525">
        <w:t>6,530 Missourians experienced homelessness on a single night in 2020.</w:t>
      </w:r>
      <w:r w:rsidR="00D806FA" w:rsidRPr="00D806FA">
        <w:rPr>
          <w:vertAlign w:val="superscript"/>
        </w:rPr>
        <w:t>2</w:t>
      </w:r>
    </w:p>
    <w:p w14:paraId="0D5ACA5D" w14:textId="77777777" w:rsidR="0078353F" w:rsidRDefault="0078353F" w:rsidP="00904D38">
      <w:r>
        <w:t xml:space="preserve">In its </w:t>
      </w:r>
      <w:hyperlink r:id="rId24" w:history="1">
        <w:r w:rsidRPr="00711C9A">
          <w:rPr>
            <w:rStyle w:val="Hyperlink"/>
            <w:i/>
            <w:iCs/>
          </w:rPr>
          <w:t>Position Statement on Affordable Housing for the Poor</w:t>
        </w:r>
      </w:hyperlink>
      <w:r>
        <w:t xml:space="preserve">, the Voice of the Poor Committee, National Council of the United States, calls on Vincentians to encourage the preservation and production of quality housing for low-income families, the elderly, and other vulnerable people; work with other interested groups on affordable housing; and speak out in favor of increasing the number of rent subsidy programs.  </w:t>
      </w:r>
    </w:p>
    <w:p w14:paraId="1A59245A" w14:textId="02C46C49" w:rsidR="00904D38" w:rsidRDefault="00ED0C0A" w:rsidP="00904D38">
      <w:r>
        <w:t xml:space="preserve">There are programs available now that can help our Neighbors in Need who are facing a housing crisis.  </w:t>
      </w:r>
      <w:r w:rsidR="00904D38">
        <w:t xml:space="preserve">For </w:t>
      </w:r>
      <w:r w:rsidR="007A6529">
        <w:t xml:space="preserve">guidance on applying for State Assistance for Housing Relief (SAFHR), please see this </w:t>
      </w:r>
      <w:hyperlink r:id="rId25" w:history="1">
        <w:r w:rsidR="007A6529" w:rsidRPr="007A6529">
          <w:rPr>
            <w:rStyle w:val="Hyperlink"/>
          </w:rPr>
          <w:t>video of a Vincentian SAFHR meeting</w:t>
        </w:r>
      </w:hyperlink>
      <w:r w:rsidR="007A6529">
        <w:t xml:space="preserve">.  The </w:t>
      </w:r>
      <w:r w:rsidR="00BF56FC">
        <w:t xml:space="preserve">Society of St. Vincent de Paul, </w:t>
      </w:r>
      <w:r w:rsidR="007A6529">
        <w:t>Archdiocesan Council of St. Louis</w:t>
      </w:r>
      <w:r w:rsidR="00BF56FC">
        <w:t>,</w:t>
      </w:r>
      <w:r w:rsidR="007A6529">
        <w:t xml:space="preserve"> </w:t>
      </w:r>
      <w:r w:rsidR="00287A7D">
        <w:t xml:space="preserve">also </w:t>
      </w:r>
      <w:r w:rsidR="007A6529">
        <w:t xml:space="preserve">offers a </w:t>
      </w:r>
      <w:hyperlink r:id="rId26" w:history="1">
        <w:r w:rsidR="007A6529" w:rsidRPr="007A6529">
          <w:rPr>
            <w:rStyle w:val="Hyperlink"/>
          </w:rPr>
          <w:t>Housing Assistance program</w:t>
        </w:r>
      </w:hyperlink>
      <w:r w:rsidR="007A6529">
        <w:t xml:space="preserve"> and Rapid Rehousing program</w:t>
      </w:r>
      <w:r w:rsidR="00BF56FC">
        <w:t>.</w:t>
      </w:r>
    </w:p>
    <w:p w14:paraId="7C98F3D0" w14:textId="22B4EBB8" w:rsidR="00904D38" w:rsidRPr="00904D38" w:rsidRDefault="00904D38" w:rsidP="00904D38">
      <w:r>
        <w:t xml:space="preserve">Our </w:t>
      </w:r>
      <w:r w:rsidR="00BF56FC">
        <w:t xml:space="preserve">St. Louis </w:t>
      </w:r>
      <w:r>
        <w:t>Voice of the Poor Committee</w:t>
      </w:r>
      <w:r w:rsidR="007A6529">
        <w:t xml:space="preserve"> </w:t>
      </w:r>
      <w:r>
        <w:t xml:space="preserve">welcomes and encourages your feedback on how best to advocate for affordable housing for our Neighbors in Need.  Contact us at </w:t>
      </w:r>
      <w:hyperlink r:id="rId27" w:history="1">
        <w:r w:rsidR="007C505D" w:rsidRPr="0092735B">
          <w:rPr>
            <w:rStyle w:val="Hyperlink"/>
          </w:rPr>
          <w:t>vopstlouis@gmail.com</w:t>
        </w:r>
      </w:hyperlink>
      <w:r w:rsidR="007C505D">
        <w:t xml:space="preserve"> </w:t>
      </w:r>
      <w:r>
        <w:t>and share the insight you’ve gained from your service to our Neighbors.</w:t>
      </w:r>
    </w:p>
    <w:p w14:paraId="7EC5E317" w14:textId="5AA1647D" w:rsidR="00E64922" w:rsidRDefault="00D806FA" w:rsidP="00D806FA">
      <w:pPr>
        <w:spacing w:after="0"/>
        <w:ind w:left="90" w:hanging="90"/>
        <w:rPr>
          <w:sz w:val="18"/>
          <w:szCs w:val="18"/>
        </w:rPr>
      </w:pPr>
      <w:r w:rsidRPr="00D806FA">
        <w:rPr>
          <w:sz w:val="18"/>
          <w:szCs w:val="18"/>
          <w:vertAlign w:val="superscript"/>
        </w:rPr>
        <w:t>1</w:t>
      </w:r>
      <w:r>
        <w:rPr>
          <w:sz w:val="18"/>
          <w:szCs w:val="18"/>
          <w:vertAlign w:val="superscript"/>
        </w:rPr>
        <w:tab/>
      </w:r>
      <w:r w:rsidRPr="00D806FA">
        <w:rPr>
          <w:sz w:val="18"/>
          <w:szCs w:val="18"/>
        </w:rPr>
        <w:t xml:space="preserve">National Low Income Housing Coalition. (2021). </w:t>
      </w:r>
      <w:r w:rsidRPr="00D806FA">
        <w:rPr>
          <w:i/>
          <w:iCs/>
          <w:sz w:val="18"/>
          <w:szCs w:val="18"/>
        </w:rPr>
        <w:t>Out of Reach 2021</w:t>
      </w:r>
      <w:r w:rsidRPr="00D806FA">
        <w:rPr>
          <w:sz w:val="18"/>
          <w:szCs w:val="18"/>
        </w:rPr>
        <w:t>.</w:t>
      </w:r>
      <w:r w:rsidR="00904D38">
        <w:rPr>
          <w:sz w:val="18"/>
          <w:szCs w:val="18"/>
        </w:rPr>
        <w:t xml:space="preserve"> </w:t>
      </w:r>
      <w:r w:rsidR="00904D38" w:rsidRPr="00904D38">
        <w:rPr>
          <w:sz w:val="18"/>
          <w:szCs w:val="18"/>
        </w:rPr>
        <w:t>Retrieved February 22, 2022, from</w:t>
      </w:r>
      <w:r w:rsidRPr="00D806FA">
        <w:rPr>
          <w:sz w:val="18"/>
          <w:szCs w:val="18"/>
        </w:rPr>
        <w:t xml:space="preserve"> </w:t>
      </w:r>
      <w:hyperlink r:id="rId28" w:history="1">
        <w:r w:rsidRPr="00D806FA">
          <w:rPr>
            <w:rStyle w:val="Hyperlink"/>
            <w:sz w:val="18"/>
            <w:szCs w:val="18"/>
          </w:rPr>
          <w:t>https://nlihc.org/sites/default/files/oor/2021/Out-of-Reach_2021.pdf</w:t>
        </w:r>
      </w:hyperlink>
      <w:r>
        <w:rPr>
          <w:sz w:val="18"/>
          <w:szCs w:val="18"/>
        </w:rPr>
        <w:t>.</w:t>
      </w:r>
    </w:p>
    <w:p w14:paraId="7805D724" w14:textId="36E3FD5B" w:rsidR="00A7511E" w:rsidRPr="00ED0C0A" w:rsidRDefault="00D806FA" w:rsidP="00ED0C0A">
      <w:pPr>
        <w:pStyle w:val="NormalWeb"/>
        <w:spacing w:before="60" w:beforeAutospacing="0" w:after="0" w:afterAutospacing="0" w:line="259" w:lineRule="auto"/>
        <w:ind w:left="86" w:hanging="86"/>
        <w:rPr>
          <w:rFonts w:asciiTheme="minorHAnsi" w:hAnsiTheme="minorHAnsi" w:cstheme="minorHAnsi"/>
          <w:sz w:val="18"/>
          <w:szCs w:val="18"/>
        </w:rPr>
      </w:pPr>
      <w:r w:rsidRPr="00D806FA">
        <w:rPr>
          <w:sz w:val="18"/>
          <w:szCs w:val="18"/>
          <w:vertAlign w:val="superscript"/>
        </w:rPr>
        <w:t>2</w:t>
      </w:r>
      <w:r w:rsidRPr="00904D38">
        <w:rPr>
          <w:rFonts w:asciiTheme="minorHAnsi" w:hAnsiTheme="minorHAnsi" w:cstheme="minorHAnsi"/>
          <w:sz w:val="18"/>
          <w:szCs w:val="18"/>
        </w:rPr>
        <w:tab/>
      </w:r>
      <w:r w:rsidR="00904D38" w:rsidRPr="00904D38">
        <w:rPr>
          <w:rFonts w:asciiTheme="minorHAnsi" w:hAnsiTheme="minorHAnsi" w:cstheme="minorHAnsi"/>
          <w:sz w:val="18"/>
          <w:szCs w:val="18"/>
        </w:rPr>
        <w:t xml:space="preserve">Center on Budget and Policy Priorities. (2022, January 19). Federal Rental Assistance Fact Sheets. Retrieved February 22, 2022, from </w:t>
      </w:r>
      <w:hyperlink r:id="rId29" w:anchor="MO" w:history="1">
        <w:r w:rsidR="00904D38" w:rsidRPr="007B3138">
          <w:rPr>
            <w:rStyle w:val="Hyperlink"/>
            <w:rFonts w:asciiTheme="minorHAnsi" w:hAnsiTheme="minorHAnsi" w:cstheme="minorHAnsi"/>
            <w:sz w:val="18"/>
            <w:szCs w:val="18"/>
          </w:rPr>
          <w:t>https://www.cbpp.org/research/housing/federal-rental-assistance-fact-sheets#MO</w:t>
        </w:r>
      </w:hyperlink>
      <w:r w:rsidR="00904D38">
        <w:rPr>
          <w:rFonts w:asciiTheme="minorHAnsi" w:hAnsiTheme="minorHAnsi" w:cstheme="minorHAnsi"/>
          <w:sz w:val="18"/>
          <w:szCs w:val="18"/>
        </w:rPr>
        <w:t>.</w:t>
      </w:r>
    </w:p>
    <w:p w14:paraId="083B400F" w14:textId="77777777" w:rsidR="00BF56FC" w:rsidRDefault="00BF56FC">
      <w:pPr>
        <w:rPr>
          <w:b/>
          <w:bCs/>
          <w:sz w:val="28"/>
          <w:szCs w:val="28"/>
          <w:u w:val="single"/>
        </w:rPr>
      </w:pPr>
      <w:r>
        <w:rPr>
          <w:b/>
          <w:bCs/>
          <w:sz w:val="28"/>
          <w:szCs w:val="28"/>
          <w:u w:val="single"/>
        </w:rPr>
        <w:br w:type="page"/>
      </w:r>
    </w:p>
    <w:p w14:paraId="640F085B" w14:textId="641539BE" w:rsidR="00BF56FC" w:rsidRDefault="00BF56FC" w:rsidP="00BF56FC">
      <w:pPr>
        <w:rPr>
          <w:b/>
          <w:bCs/>
          <w:sz w:val="28"/>
          <w:szCs w:val="28"/>
          <w:u w:val="single"/>
        </w:rPr>
      </w:pPr>
      <w:r w:rsidRPr="002B69FE">
        <w:rPr>
          <w:b/>
          <w:bCs/>
          <w:sz w:val="28"/>
          <w:szCs w:val="28"/>
          <w:u w:val="single"/>
        </w:rPr>
        <w:lastRenderedPageBreak/>
        <w:t>Facebook</w:t>
      </w:r>
    </w:p>
    <w:p w14:paraId="6C3BF7E7" w14:textId="3ACD5D70" w:rsidR="00BA067C" w:rsidRDefault="007652C1" w:rsidP="00BF56FC">
      <w:r>
        <w:t>Housing</w:t>
      </w:r>
      <w:r w:rsidRPr="007652C1">
        <w:t xml:space="preserve"> is considered </w:t>
      </w:r>
      <w:r>
        <w:t xml:space="preserve">unaffordable if it costs more than 30% of a household’s income.  In Missouri, </w:t>
      </w:r>
      <w:r w:rsidRPr="009F4525">
        <w:t>345,000 low-income renters pay over half their income in rent</w:t>
      </w:r>
      <w:r>
        <w:t>.  These Missourians often forgo other necessities like food and medicine to remain housed.</w:t>
      </w:r>
      <w:r w:rsidR="00B94702">
        <w:t xml:space="preserve">  The Society of St. Vincent de Paul has programs to help our Neighbors in Need who are </w:t>
      </w:r>
      <w:r w:rsidR="00BA067C">
        <w:t xml:space="preserve">struggling with their rent and utility bills.  For the ways we help, please see </w:t>
      </w:r>
      <w:hyperlink r:id="rId30" w:history="1">
        <w:r w:rsidR="00BA067C" w:rsidRPr="007B3138">
          <w:rPr>
            <w:rStyle w:val="Hyperlink"/>
          </w:rPr>
          <w:t>https://svdpstlouis.org/what-we-do/assistance-programs</w:t>
        </w:r>
      </w:hyperlink>
      <w:r w:rsidR="00BA067C">
        <w:t>.</w:t>
      </w:r>
    </w:p>
    <w:p w14:paraId="19C6960B" w14:textId="6278F7E1" w:rsidR="00EE72E2" w:rsidRDefault="00EE72E2" w:rsidP="00BF56FC">
      <w:r>
        <w:t xml:space="preserve">For more information about the plight of low-income renters in Missouri, please see the Center on Budget and Policy Priorities Fact Sheet at </w:t>
      </w:r>
      <w:hyperlink r:id="rId31" w:anchor="MO" w:history="1">
        <w:r w:rsidRPr="007B3138">
          <w:rPr>
            <w:rStyle w:val="Hyperlink"/>
          </w:rPr>
          <w:t>https://www.cbpp.org/research/housing/federal-rental-assistance-fact-sheets#MO</w:t>
        </w:r>
      </w:hyperlink>
      <w:r>
        <w:t>.</w:t>
      </w:r>
    </w:p>
    <w:p w14:paraId="4A0D5E70" w14:textId="77777777" w:rsidR="00EE72E2" w:rsidRDefault="00EE72E2" w:rsidP="00BF56FC"/>
    <w:p w14:paraId="5B2E70F3" w14:textId="5627373E" w:rsidR="007652C1" w:rsidRPr="007652C1" w:rsidRDefault="00024732" w:rsidP="00BF56FC">
      <w:r>
        <w:rPr>
          <w:noProof/>
        </w:rPr>
        <w:drawing>
          <wp:inline distT="0" distB="0" distL="0" distR="0" wp14:anchorId="397F328B" wp14:editId="29B2B317">
            <wp:extent cx="5943600" cy="3926205"/>
            <wp:effectExtent l="0" t="0" r="0" b="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pic:nvPicPr>
                  <pic:blipFill>
                    <a:blip r:embed="rId32"/>
                    <a:stretch>
                      <a:fillRect/>
                    </a:stretch>
                  </pic:blipFill>
                  <pic:spPr>
                    <a:xfrm>
                      <a:off x="0" y="0"/>
                      <a:ext cx="5943600" cy="3926205"/>
                    </a:xfrm>
                    <a:prstGeom prst="rect">
                      <a:avLst/>
                    </a:prstGeom>
                  </pic:spPr>
                </pic:pic>
              </a:graphicData>
            </a:graphic>
          </wp:inline>
        </w:drawing>
      </w:r>
    </w:p>
    <w:p w14:paraId="3F79656B" w14:textId="73865F63" w:rsidR="00D11A3C" w:rsidRDefault="00D11A3C" w:rsidP="00637E5A">
      <w:pPr>
        <w:rPr>
          <w:sz w:val="24"/>
          <w:szCs w:val="24"/>
        </w:rPr>
      </w:pPr>
    </w:p>
    <w:p w14:paraId="050640AB" w14:textId="481CEB2A" w:rsidR="004957F8" w:rsidRDefault="004957F8">
      <w:pPr>
        <w:rPr>
          <w:sz w:val="24"/>
          <w:szCs w:val="24"/>
        </w:rPr>
      </w:pPr>
      <w:r>
        <w:rPr>
          <w:sz w:val="24"/>
          <w:szCs w:val="24"/>
        </w:rPr>
        <w:br w:type="page"/>
      </w:r>
    </w:p>
    <w:p w14:paraId="18B04DF3" w14:textId="77777777" w:rsidR="004957F8" w:rsidRPr="002B69FE" w:rsidRDefault="004957F8" w:rsidP="004957F8">
      <w:pPr>
        <w:rPr>
          <w:b/>
          <w:bCs/>
          <w:sz w:val="28"/>
          <w:szCs w:val="28"/>
          <w:u w:val="single"/>
        </w:rPr>
      </w:pPr>
      <w:r w:rsidRPr="002B69FE">
        <w:rPr>
          <w:b/>
          <w:bCs/>
          <w:sz w:val="28"/>
          <w:szCs w:val="28"/>
          <w:u w:val="single"/>
        </w:rPr>
        <w:lastRenderedPageBreak/>
        <w:t>Bulletin</w:t>
      </w:r>
    </w:p>
    <w:p w14:paraId="187697F5" w14:textId="1D0CBA37" w:rsidR="00BA067C" w:rsidRPr="008D5841" w:rsidRDefault="008768C2" w:rsidP="00637E5A">
      <w:pPr>
        <w:rPr>
          <w:b/>
          <w:bCs/>
        </w:rPr>
      </w:pPr>
      <w:r>
        <w:rPr>
          <w:noProof/>
        </w:rPr>
        <w:drawing>
          <wp:anchor distT="0" distB="0" distL="114300" distR="114300" simplePos="0" relativeHeight="251661312" behindDoc="1" locked="0" layoutInCell="1" allowOverlap="1" wp14:anchorId="12FAF218" wp14:editId="0C508E8D">
            <wp:simplePos x="0" y="0"/>
            <wp:positionH relativeFrom="margin">
              <wp:align>left</wp:align>
            </wp:positionH>
            <wp:positionV relativeFrom="paragraph">
              <wp:posOffset>288925</wp:posOffset>
            </wp:positionV>
            <wp:extent cx="3512820" cy="3152140"/>
            <wp:effectExtent l="0" t="0" r="0" b="0"/>
            <wp:wrapTight wrapText="bothSides">
              <wp:wrapPolygon edited="0">
                <wp:start x="0" y="0"/>
                <wp:lineTo x="0" y="21409"/>
                <wp:lineTo x="21436" y="21409"/>
                <wp:lineTo x="21436" y="0"/>
                <wp:lineTo x="0" y="0"/>
              </wp:wrapPolygon>
            </wp:wrapTight>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512820" cy="3152140"/>
                    </a:xfrm>
                    <a:prstGeom prst="rect">
                      <a:avLst/>
                    </a:prstGeom>
                  </pic:spPr>
                </pic:pic>
              </a:graphicData>
            </a:graphic>
            <wp14:sizeRelH relativeFrom="margin">
              <wp14:pctWidth>0</wp14:pctWidth>
            </wp14:sizeRelH>
            <wp14:sizeRelV relativeFrom="margin">
              <wp14:pctHeight>0</wp14:pctHeight>
            </wp14:sizeRelV>
          </wp:anchor>
        </w:drawing>
      </w:r>
      <w:r w:rsidR="008D5841" w:rsidRPr="008D5841">
        <w:rPr>
          <w:b/>
          <w:bCs/>
        </w:rPr>
        <w:t>Who Forgoes other Necessities to Remain Housed?</w:t>
      </w:r>
    </w:p>
    <w:p w14:paraId="10195C8F" w14:textId="77777777" w:rsidR="008768C2" w:rsidRDefault="008D5841" w:rsidP="00637E5A">
      <w:r>
        <w:t>Housing</w:t>
      </w:r>
      <w:r w:rsidRPr="007652C1">
        <w:t xml:space="preserve"> is considered </w:t>
      </w:r>
      <w:r>
        <w:t xml:space="preserve">unaffordable if it costs more than 30% of a household’s income.  </w:t>
      </w:r>
    </w:p>
    <w:p w14:paraId="7A470587" w14:textId="4225AB13" w:rsidR="008768C2" w:rsidRDefault="008768C2" w:rsidP="00637E5A">
      <w:r>
        <w:t>According to the Center on Budget and Policy Priorities</w:t>
      </w:r>
      <w:r w:rsidR="008D5841">
        <w:t xml:space="preserve">, </w:t>
      </w:r>
      <w:r w:rsidR="008D5841" w:rsidRPr="009F4525">
        <w:t xml:space="preserve">345,000 low-income renters </w:t>
      </w:r>
      <w:r>
        <w:t xml:space="preserve">in Missouri </w:t>
      </w:r>
      <w:r w:rsidR="008D5841" w:rsidRPr="009F4525">
        <w:t>pay over half their income in rent</w:t>
      </w:r>
      <w:r w:rsidR="008D5841">
        <w:t xml:space="preserve">.  These Missourians often forgo other necessities like food and medicine to remain housed.  </w:t>
      </w:r>
    </w:p>
    <w:p w14:paraId="1B163D38" w14:textId="4E144279" w:rsidR="008D5841" w:rsidRPr="00637E5A" w:rsidRDefault="008D5841" w:rsidP="00637E5A">
      <w:pPr>
        <w:rPr>
          <w:sz w:val="24"/>
          <w:szCs w:val="24"/>
        </w:rPr>
      </w:pPr>
      <w:r>
        <w:t>The Society of St. Vincent de Paul has programs to help our Neighbors in Need who are struggling with their rent and utility bills.  For the ways we help, please visit svdpstlouis.org.</w:t>
      </w:r>
    </w:p>
    <w:sectPr w:rsidR="008D5841" w:rsidRPr="00637E5A" w:rsidSect="00ED0C0A">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7A3"/>
    <w:multiLevelType w:val="hybridMultilevel"/>
    <w:tmpl w:val="339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85520"/>
    <w:multiLevelType w:val="hybridMultilevel"/>
    <w:tmpl w:val="C312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44353">
    <w:abstractNumId w:val="1"/>
  </w:num>
  <w:num w:numId="2" w16cid:durableId="153087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5A"/>
    <w:rsid w:val="00024732"/>
    <w:rsid w:val="000249ED"/>
    <w:rsid w:val="000F625D"/>
    <w:rsid w:val="00115103"/>
    <w:rsid w:val="00116C26"/>
    <w:rsid w:val="001360C3"/>
    <w:rsid w:val="00193C23"/>
    <w:rsid w:val="00221697"/>
    <w:rsid w:val="00267E2C"/>
    <w:rsid w:val="00287A7D"/>
    <w:rsid w:val="002B69FE"/>
    <w:rsid w:val="002F29E6"/>
    <w:rsid w:val="002F5DA2"/>
    <w:rsid w:val="00422004"/>
    <w:rsid w:val="00422B7A"/>
    <w:rsid w:val="004408C1"/>
    <w:rsid w:val="00441DD7"/>
    <w:rsid w:val="00487AFD"/>
    <w:rsid w:val="004957F8"/>
    <w:rsid w:val="004A300A"/>
    <w:rsid w:val="004A3D1A"/>
    <w:rsid w:val="004B32F2"/>
    <w:rsid w:val="004B4DF1"/>
    <w:rsid w:val="004D443E"/>
    <w:rsid w:val="004D644B"/>
    <w:rsid w:val="005502D0"/>
    <w:rsid w:val="00563625"/>
    <w:rsid w:val="00567673"/>
    <w:rsid w:val="00587852"/>
    <w:rsid w:val="005C4045"/>
    <w:rsid w:val="006257D2"/>
    <w:rsid w:val="00625EB4"/>
    <w:rsid w:val="0063298C"/>
    <w:rsid w:val="00637E5A"/>
    <w:rsid w:val="0067342F"/>
    <w:rsid w:val="006A6A56"/>
    <w:rsid w:val="006B2561"/>
    <w:rsid w:val="006F41F1"/>
    <w:rsid w:val="00711C9A"/>
    <w:rsid w:val="007652C1"/>
    <w:rsid w:val="0078353F"/>
    <w:rsid w:val="00783601"/>
    <w:rsid w:val="007A6529"/>
    <w:rsid w:val="007C505D"/>
    <w:rsid w:val="007C7774"/>
    <w:rsid w:val="007D40A7"/>
    <w:rsid w:val="00857CD4"/>
    <w:rsid w:val="008768C2"/>
    <w:rsid w:val="008A2074"/>
    <w:rsid w:val="008D5841"/>
    <w:rsid w:val="00904D38"/>
    <w:rsid w:val="00943B19"/>
    <w:rsid w:val="00950EF8"/>
    <w:rsid w:val="00964625"/>
    <w:rsid w:val="009A267F"/>
    <w:rsid w:val="009B499B"/>
    <w:rsid w:val="009B6E77"/>
    <w:rsid w:val="009C3885"/>
    <w:rsid w:val="009E200C"/>
    <w:rsid w:val="009F4525"/>
    <w:rsid w:val="00A22E75"/>
    <w:rsid w:val="00A23B26"/>
    <w:rsid w:val="00A34D51"/>
    <w:rsid w:val="00A36EF8"/>
    <w:rsid w:val="00A43ABB"/>
    <w:rsid w:val="00A554A0"/>
    <w:rsid w:val="00A7511E"/>
    <w:rsid w:val="00A755F9"/>
    <w:rsid w:val="00A97770"/>
    <w:rsid w:val="00AD68E6"/>
    <w:rsid w:val="00B14AE8"/>
    <w:rsid w:val="00B55695"/>
    <w:rsid w:val="00B6389A"/>
    <w:rsid w:val="00B763E8"/>
    <w:rsid w:val="00B94702"/>
    <w:rsid w:val="00BA067C"/>
    <w:rsid w:val="00BA2BE0"/>
    <w:rsid w:val="00BB0E3D"/>
    <w:rsid w:val="00BD44BB"/>
    <w:rsid w:val="00BD7AE2"/>
    <w:rsid w:val="00BE2AFE"/>
    <w:rsid w:val="00BF56FC"/>
    <w:rsid w:val="00C703C1"/>
    <w:rsid w:val="00C74108"/>
    <w:rsid w:val="00C75B07"/>
    <w:rsid w:val="00CC3A10"/>
    <w:rsid w:val="00D11A3C"/>
    <w:rsid w:val="00D345F4"/>
    <w:rsid w:val="00D52EE9"/>
    <w:rsid w:val="00D806FA"/>
    <w:rsid w:val="00E103C3"/>
    <w:rsid w:val="00E112F0"/>
    <w:rsid w:val="00E36CB0"/>
    <w:rsid w:val="00E64922"/>
    <w:rsid w:val="00E86769"/>
    <w:rsid w:val="00ED0C0A"/>
    <w:rsid w:val="00EE72E2"/>
    <w:rsid w:val="00F039CC"/>
    <w:rsid w:val="00F212BD"/>
    <w:rsid w:val="00F665F0"/>
    <w:rsid w:val="00F70B45"/>
    <w:rsid w:val="00FE3847"/>
    <w:rsid w:val="00FE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05B1"/>
  <w15:chartTrackingRefBased/>
  <w15:docId w15:val="{7FAC1704-C19D-4BF6-BB2D-AE2B7151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00C"/>
    <w:rPr>
      <w:color w:val="0000FF"/>
      <w:u w:val="single"/>
    </w:rPr>
  </w:style>
  <w:style w:type="character" w:styleId="UnresolvedMention">
    <w:name w:val="Unresolved Mention"/>
    <w:basedOn w:val="DefaultParagraphFont"/>
    <w:uiPriority w:val="99"/>
    <w:semiHidden/>
    <w:unhideWhenUsed/>
    <w:rsid w:val="00A34D51"/>
    <w:rPr>
      <w:color w:val="605E5C"/>
      <w:shd w:val="clear" w:color="auto" w:fill="E1DFDD"/>
    </w:rPr>
  </w:style>
  <w:style w:type="table" w:styleId="TableGrid">
    <w:name w:val="Table Grid"/>
    <w:basedOn w:val="TableNormal"/>
    <w:uiPriority w:val="59"/>
    <w:rsid w:val="00E3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BD"/>
    <w:pPr>
      <w:ind w:left="720"/>
      <w:contextualSpacing/>
    </w:pPr>
  </w:style>
  <w:style w:type="paragraph" w:styleId="NormalWeb">
    <w:name w:val="Normal (Web)"/>
    <w:basedOn w:val="Normal"/>
    <w:uiPriority w:val="99"/>
    <w:unhideWhenUsed/>
    <w:rsid w:val="00904D3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175">
      <w:bodyDiv w:val="1"/>
      <w:marLeft w:val="0"/>
      <w:marRight w:val="0"/>
      <w:marTop w:val="0"/>
      <w:marBottom w:val="0"/>
      <w:divBdr>
        <w:top w:val="none" w:sz="0" w:space="0" w:color="auto"/>
        <w:left w:val="none" w:sz="0" w:space="0" w:color="auto"/>
        <w:bottom w:val="none" w:sz="0" w:space="0" w:color="auto"/>
        <w:right w:val="none" w:sz="0" w:space="0" w:color="auto"/>
      </w:divBdr>
    </w:div>
    <w:div w:id="211694303">
      <w:bodyDiv w:val="1"/>
      <w:marLeft w:val="0"/>
      <w:marRight w:val="0"/>
      <w:marTop w:val="0"/>
      <w:marBottom w:val="0"/>
      <w:divBdr>
        <w:top w:val="none" w:sz="0" w:space="0" w:color="auto"/>
        <w:left w:val="none" w:sz="0" w:space="0" w:color="auto"/>
        <w:bottom w:val="none" w:sz="0" w:space="0" w:color="auto"/>
        <w:right w:val="none" w:sz="0" w:space="0" w:color="auto"/>
      </w:divBdr>
    </w:div>
    <w:div w:id="772164302">
      <w:bodyDiv w:val="1"/>
      <w:marLeft w:val="0"/>
      <w:marRight w:val="0"/>
      <w:marTop w:val="0"/>
      <w:marBottom w:val="0"/>
      <w:divBdr>
        <w:top w:val="none" w:sz="0" w:space="0" w:color="auto"/>
        <w:left w:val="none" w:sz="0" w:space="0" w:color="auto"/>
        <w:bottom w:val="none" w:sz="0" w:space="0" w:color="auto"/>
        <w:right w:val="none" w:sz="0" w:space="0" w:color="auto"/>
      </w:divBdr>
    </w:div>
    <w:div w:id="785854357">
      <w:bodyDiv w:val="1"/>
      <w:marLeft w:val="0"/>
      <w:marRight w:val="0"/>
      <w:marTop w:val="0"/>
      <w:marBottom w:val="0"/>
      <w:divBdr>
        <w:top w:val="none" w:sz="0" w:space="0" w:color="auto"/>
        <w:left w:val="none" w:sz="0" w:space="0" w:color="auto"/>
        <w:bottom w:val="none" w:sz="0" w:space="0" w:color="auto"/>
        <w:right w:val="none" w:sz="0" w:space="0" w:color="auto"/>
      </w:divBdr>
    </w:div>
    <w:div w:id="795832141">
      <w:bodyDiv w:val="1"/>
      <w:marLeft w:val="0"/>
      <w:marRight w:val="0"/>
      <w:marTop w:val="0"/>
      <w:marBottom w:val="0"/>
      <w:divBdr>
        <w:top w:val="none" w:sz="0" w:space="0" w:color="auto"/>
        <w:left w:val="none" w:sz="0" w:space="0" w:color="auto"/>
        <w:bottom w:val="none" w:sz="0" w:space="0" w:color="auto"/>
        <w:right w:val="none" w:sz="0" w:space="0" w:color="auto"/>
      </w:divBdr>
    </w:div>
    <w:div w:id="1267663250">
      <w:bodyDiv w:val="1"/>
      <w:marLeft w:val="0"/>
      <w:marRight w:val="0"/>
      <w:marTop w:val="0"/>
      <w:marBottom w:val="0"/>
      <w:divBdr>
        <w:top w:val="none" w:sz="0" w:space="0" w:color="auto"/>
        <w:left w:val="none" w:sz="0" w:space="0" w:color="auto"/>
        <w:bottom w:val="none" w:sz="0" w:space="0" w:color="auto"/>
        <w:right w:val="none" w:sz="0" w:space="0" w:color="auto"/>
      </w:divBdr>
    </w:div>
    <w:div w:id="1439370198">
      <w:bodyDiv w:val="1"/>
      <w:marLeft w:val="0"/>
      <w:marRight w:val="0"/>
      <w:marTop w:val="0"/>
      <w:marBottom w:val="0"/>
      <w:divBdr>
        <w:top w:val="none" w:sz="0" w:space="0" w:color="auto"/>
        <w:left w:val="none" w:sz="0" w:space="0" w:color="auto"/>
        <w:bottom w:val="none" w:sz="0" w:space="0" w:color="auto"/>
        <w:right w:val="none" w:sz="0" w:space="0" w:color="auto"/>
      </w:divBdr>
    </w:div>
    <w:div w:id="18112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ssvpusa.org/download/112/the-vincentian-position-position-papers/1213/fair-wages.pdf" TargetMode="External"/><Relationship Id="rId13" Type="http://schemas.openxmlformats.org/officeDocument/2006/relationships/image" Target="media/image3.png"/><Relationship Id="rId26" Type="http://schemas.openxmlformats.org/officeDocument/2006/relationships/hyperlink" Target="https://svdpstlouis.org/sites/svdpstlouis/files/council_program_handbook_-_housing_assistance_program2.0_1_0.pdf" TargetMode="External"/><Relationship Id="rId3" Type="http://schemas.openxmlformats.org/officeDocument/2006/relationships/settings" Target="settings.xml"/><Relationship Id="rId34" Type="http://schemas.openxmlformats.org/officeDocument/2006/relationships/fontTable" Target="fontTable.xml"/><Relationship Id="rId7" Type="http://schemas.openxmlformats.org/officeDocument/2006/relationships/hyperlink" Target="https://members.ssvpusa.org/download/112/the-vincentian-position-position-papers/1212/affordable-housing.pdf" TargetMode="External"/><Relationship Id="rId12" Type="http://schemas.openxmlformats.org/officeDocument/2006/relationships/image" Target="media/image2.PNG"/><Relationship Id="rId25" Type="http://schemas.openxmlformats.org/officeDocument/2006/relationships/hyperlink" Target="https://www.youtube.com/watch?v=VDgmUfQnQwg&amp;t=642s" TargetMode="External"/><Relationship Id="rId33" Type="http://schemas.openxmlformats.org/officeDocument/2006/relationships/image" Target="media/image5.PNG"/><Relationship Id="rId2" Type="http://schemas.openxmlformats.org/officeDocument/2006/relationships/styles" Target="styles.xml"/><Relationship Id="rId29" Type="http://schemas.openxmlformats.org/officeDocument/2006/relationships/hyperlink" Target="https://www.cbpp.org/research/housing/federal-rental-assistance-fact-sheets" TargetMode="External"/><Relationship Id="rId1" Type="http://schemas.openxmlformats.org/officeDocument/2006/relationships/numbering" Target="numbering.xml"/><Relationship Id="rId6" Type="http://schemas.openxmlformats.org/officeDocument/2006/relationships/hyperlink" Target="https://nlihc.org/sites/default/files/oor/2021/Out-of-Reach_2021.pdf" TargetMode="External"/><Relationship Id="rId11" Type="http://schemas.openxmlformats.org/officeDocument/2006/relationships/image" Target="media/image1.PNG"/><Relationship Id="rId24" Type="http://schemas.openxmlformats.org/officeDocument/2006/relationships/hyperlink" Target="https://members.ssvpusa.org/download/112/the-vincentian-position-position-papers/1212/affordable-housing.pdf" TargetMode="External"/><Relationship Id="rId32" Type="http://schemas.openxmlformats.org/officeDocument/2006/relationships/image" Target="media/image4.png"/><Relationship Id="rId5" Type="http://schemas.openxmlformats.org/officeDocument/2006/relationships/hyperlink" Target="https://nlihc.org/sites/default/files/oor/2021/Out-of-Reach_2021.pdf" TargetMode="External"/><Relationship Id="rId23" Type="http://schemas.openxmlformats.org/officeDocument/2006/relationships/image" Target="media/image30.png"/><Relationship Id="rId28" Type="http://schemas.openxmlformats.org/officeDocument/2006/relationships/hyperlink" Target="https://nlihc.org/sites/default/files/oor/2021/Out-of-Reach_2021.pdf" TargetMode="External"/><Relationship Id="rId10" Type="http://schemas.openxmlformats.org/officeDocument/2006/relationships/hyperlink" Target="https://nlihc.org/sites/default/files/oor/2021/Out-of-Reach_2021.pdf" TargetMode="External"/><Relationship Id="rId31" Type="http://schemas.openxmlformats.org/officeDocument/2006/relationships/hyperlink" Target="https://www.cbpp.org/research/housing/federal-rental-assistance-fact-sheets" TargetMode="External"/><Relationship Id="rId4" Type="http://schemas.openxmlformats.org/officeDocument/2006/relationships/webSettings" Target="webSettings.xml"/><Relationship Id="rId9" Type="http://schemas.openxmlformats.org/officeDocument/2006/relationships/hyperlink" Target="mailto:vopstlouis@gmail.com" TargetMode="External"/><Relationship Id="rId27" Type="http://schemas.openxmlformats.org/officeDocument/2006/relationships/hyperlink" Target="mailto:vopstlouis@gmail.com" TargetMode="External"/><Relationship Id="rId30" Type="http://schemas.openxmlformats.org/officeDocument/2006/relationships/hyperlink" Target="https://svdpstlouis.org/what-we-do/assistance-program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1791</Words>
  <Characters>7829</Characters>
  <Application>Microsoft Office Word</Application>
  <DocSecurity>4</DocSecurity>
  <Lines>137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Kreienkamp</dc:creator>
  <cp:keywords/>
  <dc:description/>
  <cp:lastModifiedBy>Catherine Bakewell</cp:lastModifiedBy>
  <cp:revision>2</cp:revision>
  <dcterms:created xsi:type="dcterms:W3CDTF">2022-04-14T18:36:00Z</dcterms:created>
  <dcterms:modified xsi:type="dcterms:W3CDTF">2022-04-14T18:36:00Z</dcterms:modified>
</cp:coreProperties>
</file>